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4204A" w14:textId="77777777" w:rsidR="00573E8A" w:rsidRDefault="00000000">
      <w:pPr>
        <w:pStyle w:val="Heading1"/>
      </w:pPr>
      <w:r>
        <w:t>Comments on the IASB Request for Information: Post-implementation Review of IFRS 9 and IFRS 7 — Hedge Accounting Requirements (IASB/RFI/2026/1)</w:t>
      </w:r>
    </w:p>
    <w:p w14:paraId="3F264860" w14:textId="77777777" w:rsidR="00573E8A" w:rsidRDefault="00000000">
      <w:pPr>
        <w:pStyle w:val="Heading2"/>
      </w:pPr>
      <w:r>
        <w:t>Indian context for these comments</w:t>
      </w:r>
    </w:p>
    <w:p w14:paraId="3AB369A9" w14:textId="77777777" w:rsidR="00573E8A" w:rsidRDefault="00000000">
      <w:r>
        <w:t>Indian experience with Ind AS 109 hedge accounting comes mainly from listed and large unlisted corporates and NBFCs. These entities have applied the standard since Ind AS adoption began in 2016–17. Banking-sector experience remains limited because Ind AS implementation for scheduled commercial banks has been deferred. Our comments therefore reflect mainly non-financial corporates and NBFCs.</w:t>
      </w:r>
    </w:p>
    <w:p w14:paraId="0FE9499F" w14:textId="77777777" w:rsidR="00573E8A" w:rsidRDefault="00000000">
      <w:r>
        <w:t>Features of the Indian environment that shape our comments:</w:t>
      </w:r>
    </w:p>
    <w:p w14:paraId="03BA0858" w14:textId="77777777" w:rsidR="00573E8A" w:rsidRDefault="00000000">
      <w:pPr>
        <w:pStyle w:val="ListParagraph"/>
        <w:numPr>
          <w:ilvl w:val="0"/>
          <w:numId w:val="3"/>
        </w:numPr>
      </w:pPr>
      <w:r>
        <w:rPr>
          <w:b/>
        </w:rPr>
        <w:t>Regulated hedging market.</w:t>
      </w:r>
      <w:r>
        <w:t xml:space="preserve"> Derivatives with </w:t>
      </w:r>
      <w:proofErr w:type="spellStart"/>
      <w:r>
        <w:t>Authorised</w:t>
      </w:r>
      <w:proofErr w:type="spellEnd"/>
      <w:r>
        <w:t xml:space="preserve"> Dealer banks are governed by RBI directions on risk management and inter-bank dealings. These permit hedging of contracted exposures and, within limits, anticipated exposures. Hedges must be supported by underlying exposure evidence. This creates a regulatory 'exposure' concept that sits alongside, but is not the same as, the IFRS 9 'highly probable' test.</w:t>
      </w:r>
    </w:p>
    <w:p w14:paraId="12DED88F" w14:textId="77777777" w:rsidR="00573E8A" w:rsidRDefault="00000000">
      <w:pPr>
        <w:pStyle w:val="ListParagraph"/>
        <w:numPr>
          <w:ilvl w:val="0"/>
          <w:numId w:val="3"/>
        </w:numPr>
      </w:pPr>
      <w:r>
        <w:rPr>
          <w:b/>
        </w:rPr>
        <w:t>Large and persistent INR forward premium.</w:t>
      </w:r>
      <w:r>
        <w:t xml:space="preserve"> The interest-rate differential between INR and USD makes the forward element of USD/INR forwards a significant, recurring cost. Its accounting under the cost of hedging approach (IFRS 9 paras 6.5.16 and B6.5.34–B6.5.39) has a material effect on reported margins.</w:t>
      </w:r>
    </w:p>
    <w:p w14:paraId="0A26AF75" w14:textId="77777777" w:rsidR="00573E8A" w:rsidRDefault="00000000">
      <w:pPr>
        <w:pStyle w:val="ListParagraph"/>
        <w:numPr>
          <w:ilvl w:val="0"/>
          <w:numId w:val="3"/>
        </w:numPr>
      </w:pPr>
      <w:r>
        <w:rPr>
          <w:b/>
        </w:rPr>
        <w:t>Foreign-currency borrowings swapped to INR.</w:t>
      </w:r>
      <w:r>
        <w:t xml:space="preserve"> External commercial borrowings (ECBs) are commonly hedged with cross-currency interest rate swaps. Foreign currency basis spreads and benchmark changes (for example, the move from MIFOR to Modified MIFOR) affect effectiveness and the hypothetical derivative.</w:t>
      </w:r>
    </w:p>
    <w:p w14:paraId="0925D640" w14:textId="77777777" w:rsidR="00573E8A" w:rsidRDefault="00000000">
      <w:pPr>
        <w:pStyle w:val="ListParagraph"/>
        <w:numPr>
          <w:ilvl w:val="0"/>
          <w:numId w:val="3"/>
        </w:numPr>
      </w:pPr>
      <w:r>
        <w:rPr>
          <w:b/>
        </w:rPr>
        <w:t>Commodity exposures priced off foreign benchmarks.</w:t>
      </w:r>
      <w:r>
        <w:t xml:space="preserve"> Metals, energy and </w:t>
      </w:r>
      <w:proofErr w:type="spellStart"/>
      <w:r>
        <w:t>agri</w:t>
      </w:r>
      <w:proofErr w:type="spellEnd"/>
      <w:r>
        <w:t xml:space="preserve">-commodity purchases are often priced off LME, Platts or international exchange prices plus local </w:t>
      </w:r>
      <w:proofErr w:type="gramStart"/>
      <w:r>
        <w:t>premia</w:t>
      </w:r>
      <w:proofErr w:type="gramEnd"/>
      <w:r>
        <w:t xml:space="preserve"> and INR conversion. Risk-component designation (IFRS 9 para 6.3.7) is therefore highly relevant.</w:t>
      </w:r>
    </w:p>
    <w:p w14:paraId="0B991850" w14:textId="77777777" w:rsidR="00573E8A" w:rsidRDefault="00000000">
      <w:pPr>
        <w:pStyle w:val="ListParagraph"/>
        <w:numPr>
          <w:ilvl w:val="0"/>
          <w:numId w:val="3"/>
        </w:numPr>
      </w:pPr>
      <w:proofErr w:type="spellStart"/>
      <w:r>
        <w:rPr>
          <w:b/>
        </w:rPr>
        <w:t>Uncollateralised</w:t>
      </w:r>
      <w:proofErr w:type="spellEnd"/>
      <w:r>
        <w:rPr>
          <w:b/>
        </w:rPr>
        <w:t xml:space="preserve"> OTC derivatives.</w:t>
      </w:r>
      <w:r>
        <w:t xml:space="preserve"> Most corporate derivatives with banks are not covered by credit support annexes. Credit valuation adjustments are a significant source of ineffectiveness.</w:t>
      </w:r>
    </w:p>
    <w:p w14:paraId="0B467E59" w14:textId="77777777" w:rsidR="00573E8A" w:rsidRDefault="00000000">
      <w:pPr>
        <w:pStyle w:val="ListParagraph"/>
        <w:numPr>
          <w:ilvl w:val="0"/>
          <w:numId w:val="3"/>
        </w:numPr>
      </w:pPr>
      <w:r>
        <w:rPr>
          <w:b/>
        </w:rPr>
        <w:t>Renewable energy PPAs.</w:t>
      </w:r>
      <w:r>
        <w:t xml:space="preserve"> India's rapid growth in renewable capacity makes the December 2024 amendments for contracts referencing nature-dependent electricity directly relevant.</w:t>
      </w:r>
    </w:p>
    <w:p w14:paraId="2A69C22C" w14:textId="77777777" w:rsidR="00573E8A" w:rsidRDefault="00000000">
      <w:pPr>
        <w:pStyle w:val="ListParagraph"/>
        <w:numPr>
          <w:ilvl w:val="0"/>
          <w:numId w:val="3"/>
        </w:numPr>
      </w:pPr>
      <w:r>
        <w:rPr>
          <w:b/>
        </w:rPr>
        <w:t>Ind AS-specific features.</w:t>
      </w:r>
      <w:r>
        <w:t xml:space="preserve"> Ind AS 101 paragraph D13AA permitted continuation of the previous GAAP policy for exchange differences on long-term foreign currency monetary items. Its interaction with hedge accounting has caused practical questions. We also understand that Ind AS 109 does not provide the option in IFRS 9 para 7.2.21 to continue IAS 39 hedge accounting, so Indian entities apply only the IFRS 9 model. [Respondent to confirm against the notified text.]</w:t>
      </w:r>
    </w:p>
    <w:p w14:paraId="364AE169" w14:textId="77777777" w:rsidR="00573E8A" w:rsidRDefault="00000000">
      <w:r>
        <w:t>Indian evidence is therefore useful to the IASB because it reflects an emerging-market, regulated-currency environment that differs from the IASB's main outreach jurisdictions.</w:t>
      </w:r>
    </w:p>
    <w:p w14:paraId="71B6414C" w14:textId="77777777" w:rsidR="00573E8A" w:rsidRDefault="00000000">
      <w:pPr>
        <w:pStyle w:val="Heading2"/>
      </w:pPr>
      <w:r>
        <w:lastRenderedPageBreak/>
        <w:t>Question 1 — Hedge accounting requirements in IFRS 9 (Ind AS 109)</w:t>
      </w:r>
    </w:p>
    <w:p w14:paraId="77F3FDBD" w14:textId="77777777" w:rsidR="00573E8A" w:rsidRDefault="00000000">
      <w:pPr>
        <w:pStyle w:val="Heading3"/>
      </w:pPr>
      <w:r>
        <w:t>1(a) Do the requirements meet their objective?</w:t>
      </w:r>
    </w:p>
    <w:p w14:paraId="665A22AF" w14:textId="77777777" w:rsidR="00573E8A" w:rsidRDefault="00000000">
      <w:r>
        <w:rPr>
          <w:b/>
        </w:rPr>
        <w:t>Yes, largely.</w:t>
      </w:r>
      <w:r>
        <w:t xml:space="preserve"> The model in Chapter 6 of IFRS 9 has achieved its objective of representing the effect of risk management activities in the financial statements (para 6.1.1). In Indian practice, the most valuable changes have been:</w:t>
      </w:r>
    </w:p>
    <w:p w14:paraId="2AF18A7D" w14:textId="77777777" w:rsidR="00573E8A" w:rsidRDefault="00000000">
      <w:pPr>
        <w:pStyle w:val="ListParagraph"/>
        <w:numPr>
          <w:ilvl w:val="0"/>
          <w:numId w:val="4"/>
        </w:numPr>
      </w:pPr>
      <w:r>
        <w:rPr>
          <w:b/>
        </w:rPr>
        <w:t>Principles-based effectiveness (para 6.4.1(c), B6.4.1–B6.4.19).</w:t>
      </w:r>
      <w:r>
        <w:t xml:space="preserve"> Removing the 80–125% bright line and the retrospective test ended hedge failures caused by small mismatches, such as settlement-date differences on forwards.</w:t>
      </w:r>
    </w:p>
    <w:p w14:paraId="0F5A9B01" w14:textId="77777777" w:rsidR="00573E8A" w:rsidRDefault="00000000">
      <w:pPr>
        <w:pStyle w:val="ListParagraph"/>
        <w:numPr>
          <w:ilvl w:val="0"/>
          <w:numId w:val="4"/>
        </w:numPr>
      </w:pPr>
      <w:r>
        <w:rPr>
          <w:b/>
        </w:rPr>
        <w:t>Risk components of non-financial items (para 6.3.7, B6.3.8–B6.3.15).</w:t>
      </w:r>
      <w:r>
        <w:t xml:space="preserve"> Steel, </w:t>
      </w:r>
      <w:proofErr w:type="spellStart"/>
      <w:r>
        <w:t>aluminium</w:t>
      </w:r>
      <w:proofErr w:type="spellEnd"/>
      <w:r>
        <w:t xml:space="preserve">, copper, crude and fuel buyers can now hedge the benchmark price element that they </w:t>
      </w:r>
      <w:proofErr w:type="gramStart"/>
      <w:r>
        <w:t>actually hedge</w:t>
      </w:r>
      <w:proofErr w:type="gramEnd"/>
      <w:r>
        <w:t>.</w:t>
      </w:r>
    </w:p>
    <w:p w14:paraId="21F934AE" w14:textId="77777777" w:rsidR="00573E8A" w:rsidRDefault="00000000">
      <w:pPr>
        <w:pStyle w:val="ListParagraph"/>
        <w:numPr>
          <w:ilvl w:val="0"/>
          <w:numId w:val="4"/>
        </w:numPr>
      </w:pPr>
      <w:r>
        <w:rPr>
          <w:b/>
        </w:rPr>
        <w:t>Cost of hedging (paras 6.5.15–6.5.16).</w:t>
      </w:r>
      <w:r>
        <w:t xml:space="preserve"> Deferring option time value and forward elements in OCI has reduced artificial P&amp;L volatility, which matters given the INR forward premium.</w:t>
      </w:r>
    </w:p>
    <w:p w14:paraId="7066BD57" w14:textId="77777777" w:rsidR="00573E8A" w:rsidRDefault="00000000">
      <w:pPr>
        <w:pStyle w:val="ListParagraph"/>
        <w:numPr>
          <w:ilvl w:val="0"/>
          <w:numId w:val="4"/>
        </w:numPr>
      </w:pPr>
      <w:r>
        <w:rPr>
          <w:b/>
        </w:rPr>
        <w:t>Aggregated exposures (para 6.3.4).</w:t>
      </w:r>
      <w:r>
        <w:t xml:space="preserve"> Entities can hedge an ECB together with its cross-currency swap as one </w:t>
      </w:r>
      <w:proofErr w:type="gramStart"/>
      <w:r>
        <w:t>exposure, and</w:t>
      </w:r>
      <w:proofErr w:type="gramEnd"/>
      <w:r>
        <w:t xml:space="preserve"> then hedge the residual risk.</w:t>
      </w:r>
    </w:p>
    <w:p w14:paraId="307AB369" w14:textId="77777777" w:rsidR="00573E8A" w:rsidRDefault="00000000">
      <w:r>
        <w:t xml:space="preserve">We do not recommend fundamental </w:t>
      </w:r>
      <w:proofErr w:type="gramStart"/>
      <w:r>
        <w:t>change</w:t>
      </w:r>
      <w:proofErr w:type="gramEnd"/>
      <w:r>
        <w:t xml:space="preserve">. The areas below are where the objective is met in </w:t>
      </w:r>
      <w:proofErr w:type="gramStart"/>
      <w:r>
        <w:t>principle</w:t>
      </w:r>
      <w:proofErr w:type="gramEnd"/>
      <w:r>
        <w:t xml:space="preserve"> but application is costly, diverse or unclear. For each we suggest a proportionate response, mostly application guidance or educational material rather than standard-setting.</w:t>
      </w:r>
    </w:p>
    <w:p w14:paraId="6E417FE9" w14:textId="77777777" w:rsidR="00573E8A" w:rsidRDefault="00000000">
      <w:pPr>
        <w:pStyle w:val="Heading3"/>
      </w:pPr>
      <w:r>
        <w:t>Area 1 — The 'highly probable' criterion (para 6.3.3)</w:t>
      </w:r>
    </w:p>
    <w:p w14:paraId="61D4F365" w14:textId="77777777" w:rsidR="00573E8A" w:rsidRDefault="00000000">
      <w:r>
        <w:rPr>
          <w:b/>
        </w:rPr>
        <w:t>Issue.</w:t>
      </w:r>
      <w:r>
        <w:t xml:space="preserve"> IFRS 9 carried forward the 'highly probable' requirement but not the IAS 39 implementation guidance on how to assess it. Entities rely on IAS 39 guidance by analogy, and practice differs.</w:t>
      </w:r>
    </w:p>
    <w:p w14:paraId="418A5D4E" w14:textId="77777777" w:rsidR="00573E8A" w:rsidRDefault="00000000">
      <w:r>
        <w:rPr>
          <w:b/>
        </w:rPr>
        <w:t>Indian experience.</w:t>
      </w:r>
    </w:p>
    <w:p w14:paraId="742A5D96" w14:textId="77777777" w:rsidR="00573E8A" w:rsidRDefault="00000000">
      <w:pPr>
        <w:pStyle w:val="ListParagraph"/>
        <w:numPr>
          <w:ilvl w:val="0"/>
          <w:numId w:val="5"/>
        </w:numPr>
      </w:pPr>
      <w:r>
        <w:t>Exporters and importers hedge rolling 12–</w:t>
      </w:r>
      <w:proofErr w:type="gramStart"/>
      <w:r>
        <w:t>24 month</w:t>
      </w:r>
      <w:proofErr w:type="gramEnd"/>
      <w:r>
        <w:t xml:space="preserve"> forecasts. Volumes and timing shift with orders, shipping disruptions and geopolitical events.</w:t>
      </w:r>
    </w:p>
    <w:p w14:paraId="1855450C" w14:textId="77777777" w:rsidR="00573E8A" w:rsidRDefault="00000000">
      <w:pPr>
        <w:pStyle w:val="ListParagraph"/>
        <w:numPr>
          <w:ilvl w:val="0"/>
          <w:numId w:val="5"/>
        </w:numPr>
      </w:pPr>
      <w:r>
        <w:t>Project entities hedge capital imports whose timing depends on construction milestones.</w:t>
      </w:r>
    </w:p>
    <w:p w14:paraId="1A469316" w14:textId="77777777" w:rsidR="00573E8A" w:rsidRDefault="00000000">
      <w:pPr>
        <w:pStyle w:val="ListParagraph"/>
        <w:numPr>
          <w:ilvl w:val="0"/>
          <w:numId w:val="5"/>
        </w:numPr>
      </w:pPr>
      <w:r>
        <w:t>RBI rules let entities hedge anticipated exposures based on past performance. Treasuries and auditors are unsure whether the regulatory eligibility evidence is enough for 'highly probable'. The two tests are different, and documentation is often duplicated.</w:t>
      </w:r>
    </w:p>
    <w:p w14:paraId="20856F89" w14:textId="77777777" w:rsidR="00573E8A" w:rsidRDefault="00000000">
      <w:pPr>
        <w:pStyle w:val="ListParagraph"/>
        <w:numPr>
          <w:ilvl w:val="0"/>
          <w:numId w:val="5"/>
        </w:numPr>
      </w:pPr>
      <w:r>
        <w:t>When timing slips, entities must judge whether the transaction is still expected (hedge continues, para 6.5.12(a)) or no longer expected (reclassify to P&amp;L, para 6.5.12(b)). Practice on 'how late is too late' varies.</w:t>
      </w:r>
    </w:p>
    <w:p w14:paraId="3A14AB9E" w14:textId="77777777" w:rsidR="00573E8A" w:rsidRDefault="00000000">
      <w:r>
        <w:rPr>
          <w:b/>
        </w:rPr>
        <w:t>Recommendation.</w:t>
      </w:r>
      <w:r>
        <w:t xml:space="preserve"> Develop application guidance or illustrative examples on (</w:t>
      </w:r>
      <w:proofErr w:type="spellStart"/>
      <w:r>
        <w:t>i</w:t>
      </w:r>
      <w:proofErr w:type="spellEnd"/>
      <w:r>
        <w:t>) the evidence that supports 'highly probable', including the 'layering' of forecasts (bottom layers vs top layers), (ii) changes in timing versus cancellation, and (iii) deal-contingent and long-term contract forecasts. Clarify that external regulatory eligibility is neither necessary nor sufficient on its own.</w:t>
      </w:r>
    </w:p>
    <w:p w14:paraId="4608A5DD" w14:textId="77777777" w:rsidR="00573E8A" w:rsidRDefault="00000000">
      <w:pPr>
        <w:pStyle w:val="Heading3"/>
      </w:pPr>
      <w:r>
        <w:t>Area 2 — Cost of hedging approach (paras 6.5.15–6.5.16, B6.5.29–B6.5.39)</w:t>
      </w:r>
    </w:p>
    <w:p w14:paraId="54CFE47A" w14:textId="77777777" w:rsidR="00573E8A" w:rsidRDefault="00000000">
      <w:r>
        <w:rPr>
          <w:b/>
        </w:rPr>
        <w:t>Issue.</w:t>
      </w:r>
      <w:r>
        <w:t xml:space="preserve"> The approach is conceptually sound, but splitting the actual forward element or time value into 'aligned' and 'non-aligned' portions requires a parallel valuation of a hypothetical instrument whose terms match the hedged item.</w:t>
      </w:r>
    </w:p>
    <w:p w14:paraId="467D0A51" w14:textId="77777777" w:rsidR="00573E8A" w:rsidRDefault="00000000">
      <w:r>
        <w:rPr>
          <w:b/>
        </w:rPr>
        <w:lastRenderedPageBreak/>
        <w:t>Indian experience.</w:t>
      </w:r>
    </w:p>
    <w:p w14:paraId="460191C7" w14:textId="77777777" w:rsidR="00573E8A" w:rsidRDefault="00000000">
      <w:pPr>
        <w:pStyle w:val="ListParagraph"/>
        <w:numPr>
          <w:ilvl w:val="0"/>
          <w:numId w:val="6"/>
        </w:numPr>
      </w:pPr>
      <w:r>
        <w:t>The USD/INR forward premium has typically been several percent a year. It is the single largest hedging cost for many Indian corporates, so its presentation directly affects reported margins and EBITDA.</w:t>
      </w:r>
    </w:p>
    <w:p w14:paraId="45425CA7" w14:textId="77777777" w:rsidR="00573E8A" w:rsidRDefault="00000000">
      <w:pPr>
        <w:pStyle w:val="ListParagraph"/>
        <w:numPr>
          <w:ilvl w:val="0"/>
          <w:numId w:val="6"/>
        </w:numPr>
      </w:pPr>
      <w:r>
        <w:t>Some entities apply the cost of hedging approach to forwards; others designate the full forward rate. Both are permitted, which reduces comparability between peers.</w:t>
      </w:r>
    </w:p>
    <w:p w14:paraId="1DE958F3" w14:textId="77777777" w:rsidR="00573E8A" w:rsidRDefault="00000000">
      <w:pPr>
        <w:pStyle w:val="ListParagraph"/>
        <w:numPr>
          <w:ilvl w:val="0"/>
          <w:numId w:val="6"/>
        </w:numPr>
      </w:pPr>
      <w:r>
        <w:t>For cross-currency swaps on ECBs, separating the foreign currency basis spread is technically demanding and often outsourced to valuation providers.</w:t>
      </w:r>
    </w:p>
    <w:p w14:paraId="1C06136F" w14:textId="77777777" w:rsidR="00573E8A" w:rsidRDefault="00000000">
      <w:r>
        <w:rPr>
          <w:b/>
        </w:rPr>
        <w:t>Recommendation.</w:t>
      </w:r>
    </w:p>
    <w:p w14:paraId="302442CC" w14:textId="77777777" w:rsidR="00573E8A" w:rsidRDefault="00000000">
      <w:pPr>
        <w:pStyle w:val="ListParagraph"/>
        <w:numPr>
          <w:ilvl w:val="0"/>
          <w:numId w:val="7"/>
        </w:numPr>
      </w:pPr>
      <w:r>
        <w:t>Introduce a practical expedient: when the critical terms of the hedging instrument and hedged item match, allow the actual forward element or time value to be treated as aligned without a separate calculation.</w:t>
      </w:r>
    </w:p>
    <w:p w14:paraId="7A234BCC" w14:textId="77777777" w:rsidR="00573E8A" w:rsidRDefault="00000000">
      <w:pPr>
        <w:pStyle w:val="ListParagraph"/>
        <w:numPr>
          <w:ilvl w:val="0"/>
          <w:numId w:val="7"/>
        </w:numPr>
      </w:pPr>
      <w:r>
        <w:t xml:space="preserve">Add illustrative examples for forwards and cross-currency swaps, including </w:t>
      </w:r>
      <w:proofErr w:type="spellStart"/>
      <w:r>
        <w:t>amortisation</w:t>
      </w:r>
      <w:proofErr w:type="spellEnd"/>
      <w:r>
        <w:t xml:space="preserve"> of time-period related forward points.</w:t>
      </w:r>
    </w:p>
    <w:p w14:paraId="371FBA16" w14:textId="77777777" w:rsidR="00573E8A" w:rsidRDefault="00000000">
      <w:pPr>
        <w:pStyle w:val="ListParagraph"/>
        <w:numPr>
          <w:ilvl w:val="0"/>
          <w:numId w:val="7"/>
        </w:numPr>
      </w:pPr>
      <w:r>
        <w:t>Consider requiring disclosure of which election the entity has made for forward elements and basis spreads, to restore comparability (see Question 2).</w:t>
      </w:r>
    </w:p>
    <w:p w14:paraId="5732A3E6" w14:textId="77777777" w:rsidR="00573E8A" w:rsidRDefault="00000000">
      <w:pPr>
        <w:pStyle w:val="Heading3"/>
      </w:pPr>
      <w:r>
        <w:t>Area 3 — Hypothetical derivatives and measuring ineffectiveness (paras 6.5.11, B6.5.4–B6.5.6)</w:t>
      </w:r>
    </w:p>
    <w:p w14:paraId="4CC69A73" w14:textId="77777777" w:rsidR="00573E8A" w:rsidRDefault="00000000">
      <w:r>
        <w:rPr>
          <w:b/>
        </w:rPr>
        <w:t>Issue.</w:t>
      </w:r>
      <w:r>
        <w:t xml:space="preserve"> IFRS 9 permits the hypothetical derivative method but offers little guidance on what it may contain. Practice </w:t>
      </w:r>
      <w:proofErr w:type="gramStart"/>
      <w:r>
        <w:t>varies on</w:t>
      </w:r>
      <w:proofErr w:type="gramEnd"/>
      <w:r>
        <w:t xml:space="preserve"> including foreign currency basis spreads, own or counterparty credit, and off-market terms of existing instruments.</w:t>
      </w:r>
    </w:p>
    <w:p w14:paraId="7A201D31" w14:textId="77777777" w:rsidR="00573E8A" w:rsidRDefault="00000000">
      <w:r>
        <w:rPr>
          <w:b/>
        </w:rPr>
        <w:t>Indian experience.</w:t>
      </w:r>
      <w:r>
        <w:t xml:space="preserve"> Diversity is common in cross-currency swap hedges of ECBs and in hedges re-designated after the MIFOR transition, where the hypothetical derivative had to be redefined.</w:t>
      </w:r>
    </w:p>
    <w:p w14:paraId="3D0CE4D3" w14:textId="77777777" w:rsidR="00573E8A" w:rsidRDefault="00000000">
      <w:r>
        <w:rPr>
          <w:b/>
        </w:rPr>
        <w:t>Recommendation.</w:t>
      </w:r>
      <w:r>
        <w:t xml:space="preserve"> Clarify what features a hypothetical derivative may and may not include (it cannot include features absent from the hedged item, such as basis spread, except within cost of hedging). Add a worked example for a cross-currency hedge of foreign-currency debt.</w:t>
      </w:r>
    </w:p>
    <w:p w14:paraId="32B34E97" w14:textId="77777777" w:rsidR="00573E8A" w:rsidRDefault="00000000">
      <w:pPr>
        <w:pStyle w:val="Heading3"/>
      </w:pPr>
      <w:r>
        <w:t xml:space="preserve">Area 4 — Credit risk on </w:t>
      </w:r>
      <w:proofErr w:type="spellStart"/>
      <w:r>
        <w:t>uncollateralised</w:t>
      </w:r>
      <w:proofErr w:type="spellEnd"/>
      <w:r>
        <w:t xml:space="preserve"> derivatives (para 6.4.1(c)(ii), B6.4.7–B6.4.8)</w:t>
      </w:r>
    </w:p>
    <w:p w14:paraId="23DACBD4" w14:textId="77777777" w:rsidR="00573E8A" w:rsidRDefault="00000000">
      <w:r>
        <w:rPr>
          <w:b/>
        </w:rPr>
        <w:t>Issue.</w:t>
      </w:r>
      <w:r>
        <w:t xml:space="preserve"> The guidance says credit risk must not 'dominate' the value </w:t>
      </w:r>
      <w:proofErr w:type="gramStart"/>
      <w:r>
        <w:t>changes, but</w:t>
      </w:r>
      <w:proofErr w:type="gramEnd"/>
      <w:r>
        <w:t xml:space="preserve"> gives little help on measuring dominance or on handling CVA/DVA.</w:t>
      </w:r>
    </w:p>
    <w:p w14:paraId="1BCA36BF" w14:textId="77777777" w:rsidR="00573E8A" w:rsidRDefault="00000000">
      <w:r>
        <w:rPr>
          <w:b/>
        </w:rPr>
        <w:t>Indian experience.</w:t>
      </w:r>
      <w:r>
        <w:t xml:space="preserve"> Most corporate derivatives with Indian banks are </w:t>
      </w:r>
      <w:proofErr w:type="spellStart"/>
      <w:r>
        <w:t>uncollateralised</w:t>
      </w:r>
      <w:proofErr w:type="spellEnd"/>
      <w:r>
        <w:t>. CVA/DVA moves with credit spreads and creates ineffectiveness unrelated to the hedged risk. Some entities exclude the effect qualitatively; others model it in detail. Audit effort is significant.</w:t>
      </w:r>
    </w:p>
    <w:p w14:paraId="37A2EFBD" w14:textId="77777777" w:rsidR="00573E8A" w:rsidRDefault="00000000">
      <w:r>
        <w:rPr>
          <w:b/>
        </w:rPr>
        <w:t>Recommendation.</w:t>
      </w:r>
      <w:r>
        <w:t xml:space="preserve"> Provide guidance and examples on assessing credit risk dominance and on measuring CVA/DVA-driven ineffectiveness. Consider whether the credit element could be treated like other excluded components, with its changes </w:t>
      </w:r>
      <w:proofErr w:type="spellStart"/>
      <w:r>
        <w:t>recognised</w:t>
      </w:r>
      <w:proofErr w:type="spellEnd"/>
      <w:r>
        <w:t xml:space="preserve"> in P&amp;L but outside the effectiveness assessment.</w:t>
      </w:r>
    </w:p>
    <w:p w14:paraId="00D401E7" w14:textId="77777777" w:rsidR="00573E8A" w:rsidRDefault="00000000">
      <w:pPr>
        <w:pStyle w:val="Heading3"/>
      </w:pPr>
      <w:r>
        <w:lastRenderedPageBreak/>
        <w:t>Area 5 — Rebalancing and voluntary de-designation (paras 6.5.5–6.5.6, B6.5.7–B6.5.21)</w:t>
      </w:r>
    </w:p>
    <w:p w14:paraId="60599F08" w14:textId="77777777" w:rsidR="00573E8A" w:rsidRDefault="00000000">
      <w:r>
        <w:rPr>
          <w:b/>
        </w:rPr>
        <w:t>Issue.</w:t>
      </w:r>
      <w:r>
        <w:t xml:space="preserve"> Rebalancing is poorly understood and rarely used. The prohibition on voluntary discontinuation causes friction when hedges are rolled, restructured or replaced with new instruments while the risk management objective is unchanged.</w:t>
      </w:r>
    </w:p>
    <w:p w14:paraId="6936E4E0" w14:textId="77777777" w:rsidR="00573E8A" w:rsidRDefault="00000000">
      <w:r>
        <w:rPr>
          <w:b/>
        </w:rPr>
        <w:t>Indian experience.</w:t>
      </w:r>
      <w:r>
        <w:t xml:space="preserve"> Treasuries commonly roll short-dated forwards against longer exposures, or cancel and rebook forwards when exposures change, as RBI rules allow. Entities then need to decide whether this is rebalancing, a continuation (para 6.5.6 on replacement and rollover) or a discontinuation. The answer drives P&amp;L outcomes.</w:t>
      </w:r>
    </w:p>
    <w:p w14:paraId="79F74B0D" w14:textId="77777777" w:rsidR="00573E8A" w:rsidRDefault="00000000">
      <w:r>
        <w:rPr>
          <w:b/>
        </w:rPr>
        <w:t>Recommendation.</w:t>
      </w:r>
    </w:p>
    <w:p w14:paraId="1F071E39" w14:textId="77777777" w:rsidR="00573E8A" w:rsidRDefault="00000000">
      <w:pPr>
        <w:pStyle w:val="ListParagraph"/>
        <w:numPr>
          <w:ilvl w:val="0"/>
          <w:numId w:val="8"/>
        </w:numPr>
      </w:pPr>
      <w:r>
        <w:t>Publish educational material with simple examples of rebalancing, rollover strategies and replacement of hedging instruments.</w:t>
      </w:r>
    </w:p>
    <w:p w14:paraId="6F1F24C8" w14:textId="77777777" w:rsidR="00573E8A" w:rsidRDefault="00000000">
      <w:pPr>
        <w:pStyle w:val="ListParagraph"/>
        <w:numPr>
          <w:ilvl w:val="0"/>
          <w:numId w:val="8"/>
        </w:numPr>
      </w:pPr>
      <w:r>
        <w:t>Reconsider permitting voluntary de-designation, at least when the entity documents a change in how it manages the risk. This would also reduce a key difference with US GAAP that keeps some entities on IAS 39.</w:t>
      </w:r>
    </w:p>
    <w:p w14:paraId="18D2EFB7" w14:textId="77777777" w:rsidR="00573E8A" w:rsidRDefault="00000000">
      <w:pPr>
        <w:pStyle w:val="Heading3"/>
      </w:pPr>
      <w:r>
        <w:t>Area 6 — Basis adjustment for non-financial items (para 6.5.11(d)(</w:t>
      </w:r>
      <w:proofErr w:type="spellStart"/>
      <w:r>
        <w:t>i</w:t>
      </w:r>
      <w:proofErr w:type="spellEnd"/>
      <w:r>
        <w:t>))</w:t>
      </w:r>
    </w:p>
    <w:p w14:paraId="6F42F80C" w14:textId="77777777" w:rsidR="00573E8A" w:rsidRDefault="00000000">
      <w:r>
        <w:rPr>
          <w:b/>
        </w:rPr>
        <w:t>Issue.</w:t>
      </w:r>
      <w:r>
        <w:t xml:space="preserve"> Including cash </w:t>
      </w:r>
      <w:proofErr w:type="gramStart"/>
      <w:r>
        <w:t>flow</w:t>
      </w:r>
      <w:proofErr w:type="gramEnd"/>
      <w:r>
        <w:t xml:space="preserve"> hedge gains and losses in the cost of inventory or other non-financial assets is conceptually right. It is operationally hard when inventory is measured using weighted average cost across many purchases, or when assets are under construction for long periods.</w:t>
      </w:r>
    </w:p>
    <w:p w14:paraId="7732E9E1" w14:textId="77777777" w:rsidR="00573E8A" w:rsidRDefault="00000000">
      <w:r>
        <w:rPr>
          <w:b/>
        </w:rPr>
        <w:t>Indian experience.</w:t>
      </w:r>
      <w:r>
        <w:t xml:space="preserve"> Weighted average cost is common in Indian manufacturing. Allocating hedge results to individual inventory lots in ERP systems is difficult, so entities use approximations. For capital imports, amounts accumulate in capital work-in-progress for years.</w:t>
      </w:r>
    </w:p>
    <w:p w14:paraId="774350F3" w14:textId="77777777" w:rsidR="00573E8A" w:rsidRDefault="00000000">
      <w:r>
        <w:rPr>
          <w:b/>
        </w:rPr>
        <w:t>Recommendation.</w:t>
      </w:r>
      <w:r>
        <w:t xml:space="preserve"> Permit a practical expedient that allows a reasonable and consistent allocation method (for example, release in line with consumption of the hedged inventory category). Add guidance for assets under construction.</w:t>
      </w:r>
    </w:p>
    <w:p w14:paraId="6C856FFD" w14:textId="77777777" w:rsidR="00573E8A" w:rsidRDefault="00000000">
      <w:pPr>
        <w:pStyle w:val="Heading3"/>
      </w:pPr>
      <w:r>
        <w:t>Area 7 — Risk components (para 6.3.7, B6.3.8–B6.3.15)</w:t>
      </w:r>
    </w:p>
    <w:p w14:paraId="56262489" w14:textId="77777777" w:rsidR="00573E8A" w:rsidRDefault="00000000">
      <w:r>
        <w:rPr>
          <w:b/>
        </w:rPr>
        <w:t>Issue.</w:t>
      </w:r>
      <w:r>
        <w:t xml:space="preserve"> Contractually specified components are straightforward. Non-contractually specified components need evidence that the component is separately identifiable and reliably measurable, and the bar is unclear.</w:t>
      </w:r>
    </w:p>
    <w:p w14:paraId="10547DB4" w14:textId="77777777" w:rsidR="00573E8A" w:rsidRDefault="00000000">
      <w:r>
        <w:rPr>
          <w:b/>
        </w:rPr>
        <w:t>Indian experience.</w:t>
      </w:r>
      <w:r>
        <w:t xml:space="preserve"> Domestic commodity prices often track international benchmarks with a time lag, local premia and INR conversion. Entities and auditors differ on the evidence needed to support a benchmark component in such markets. Inflation components are also relevant for long-term infrastructure contracts.</w:t>
      </w:r>
    </w:p>
    <w:p w14:paraId="14672561" w14:textId="77777777" w:rsidR="00573E8A" w:rsidRDefault="00000000">
      <w:r>
        <w:rPr>
          <w:b/>
        </w:rPr>
        <w:t>Recommendation.</w:t>
      </w:r>
      <w:r>
        <w:t xml:space="preserve"> Provide examples </w:t>
      </w:r>
      <w:proofErr w:type="gramStart"/>
      <w:r>
        <w:t>on</w:t>
      </w:r>
      <w:proofErr w:type="gramEnd"/>
      <w:r>
        <w:t xml:space="preserve"> non-contractually specified components in markets where the benchmark is foreign and priced in another currency, and </w:t>
      </w:r>
      <w:proofErr w:type="gramStart"/>
      <w:r>
        <w:t>on</w:t>
      </w:r>
      <w:proofErr w:type="gramEnd"/>
      <w:r>
        <w:t xml:space="preserve"> the evidence of market structure required.</w:t>
      </w:r>
    </w:p>
    <w:p w14:paraId="5411BC8D" w14:textId="77777777" w:rsidR="00573E8A" w:rsidRDefault="00000000">
      <w:pPr>
        <w:pStyle w:val="Heading3"/>
      </w:pPr>
      <w:r>
        <w:lastRenderedPageBreak/>
        <w:t>Area 8 — Groups of items and net positions (section 6.6)</w:t>
      </w:r>
    </w:p>
    <w:p w14:paraId="477B3D8C" w14:textId="77777777" w:rsidR="00573E8A" w:rsidRDefault="00000000">
      <w:r>
        <w:rPr>
          <w:b/>
        </w:rPr>
        <w:t>Issue.</w:t>
      </w:r>
      <w:r>
        <w:t xml:space="preserve"> Cash flow hedges of net positions are restricted to foreign currency risk, and presentation requirements (para 6.6.4) are complex. Use is rare.</w:t>
      </w:r>
    </w:p>
    <w:p w14:paraId="5DF4F2E8" w14:textId="77777777" w:rsidR="00573E8A" w:rsidRDefault="00000000">
      <w:r>
        <w:rPr>
          <w:b/>
        </w:rPr>
        <w:t>Recommendation.</w:t>
      </w:r>
      <w:r>
        <w:t xml:space="preserve"> Assess whether the restrictions are still needed. Many Indian exporters with imported inputs manage a net USD position, but the accounting does not let them reflect it simply.</w:t>
      </w:r>
    </w:p>
    <w:p w14:paraId="1917A053" w14:textId="77777777" w:rsidR="00573E8A" w:rsidRDefault="00000000">
      <w:pPr>
        <w:pStyle w:val="Heading3"/>
      </w:pPr>
      <w:r>
        <w:t>Area 9 — Variable-volume forecasts beyond nature-dependent electricity</w:t>
      </w:r>
    </w:p>
    <w:p w14:paraId="3A6E5529" w14:textId="77777777" w:rsidR="00573E8A" w:rsidRDefault="00000000">
      <w:r>
        <w:rPr>
          <w:b/>
        </w:rPr>
        <w:t>Issue.</w:t>
      </w:r>
      <w:r>
        <w:t xml:space="preserve"> The December 2024 amendments allow variable nominal amounts of forecast nature-dependent electricity to be designated as hedged items.</w:t>
      </w:r>
    </w:p>
    <w:p w14:paraId="35C5EAE6" w14:textId="77777777" w:rsidR="00573E8A" w:rsidRDefault="00000000">
      <w:r>
        <w:rPr>
          <w:b/>
        </w:rPr>
        <w:t>Indian experience.</w:t>
      </w:r>
      <w:r>
        <w:t xml:space="preserve"> The amendments are welcome for renewable power purchase agreements. Similar volume uncertainty arises in agricultural procurement and in some commodity offtake contracts.</w:t>
      </w:r>
    </w:p>
    <w:p w14:paraId="04D14DB4" w14:textId="77777777" w:rsidR="00573E8A" w:rsidRDefault="00000000">
      <w:r>
        <w:rPr>
          <w:b/>
        </w:rPr>
        <w:t>Recommendation.</w:t>
      </w:r>
      <w:r>
        <w:t xml:space="preserve"> Assess whether the principle can be extended to other forecast transactions whose volumes are inherently </w:t>
      </w:r>
      <w:proofErr w:type="gramStart"/>
      <w:r>
        <w:t>variable</w:t>
      </w:r>
      <w:proofErr w:type="gramEnd"/>
      <w:r>
        <w:t xml:space="preserve"> but the hedge is economically effective, subject to suitable disclosure.</w:t>
      </w:r>
    </w:p>
    <w:p w14:paraId="6C9EA531" w14:textId="77777777" w:rsidR="00573E8A" w:rsidRDefault="00000000">
      <w:pPr>
        <w:pStyle w:val="Heading3"/>
      </w:pPr>
      <w:r>
        <w:t xml:space="preserve">Area 10 — Options and </w:t>
      </w:r>
      <w:proofErr w:type="gramStart"/>
      <w:r>
        <w:t>net written options</w:t>
      </w:r>
      <w:proofErr w:type="gramEnd"/>
      <w:r>
        <w:t xml:space="preserve"> (para B6.2.4)</w:t>
      </w:r>
    </w:p>
    <w:p w14:paraId="1D34287D" w14:textId="77777777" w:rsidR="00573E8A" w:rsidRDefault="00000000">
      <w:r>
        <w:rPr>
          <w:b/>
        </w:rPr>
        <w:t>Issue.</w:t>
      </w:r>
      <w:r>
        <w:t xml:space="preserve"> Structures such as collars, participating forwards and seagulls are common. Entities must assess whether a combination is a net written option, which cannot be a hedging instrument.</w:t>
      </w:r>
    </w:p>
    <w:p w14:paraId="7501F53C" w14:textId="77777777" w:rsidR="00573E8A" w:rsidRDefault="00000000">
      <w:r>
        <w:rPr>
          <w:b/>
        </w:rPr>
        <w:t>Recommendation.</w:t>
      </w:r>
      <w:r>
        <w:t xml:space="preserve"> Provide examples assessing common option combinations, including structures with different notional amounts on bought and sold legs.</w:t>
      </w:r>
    </w:p>
    <w:p w14:paraId="6729F6FB" w14:textId="77777777" w:rsidR="00573E8A" w:rsidRDefault="00000000">
      <w:pPr>
        <w:pStyle w:val="Heading3"/>
      </w:pPr>
      <w:r>
        <w:t xml:space="preserve">1(b) Are costs </w:t>
      </w:r>
      <w:proofErr w:type="gramStart"/>
      <w:r>
        <w:t>largely</w:t>
      </w:r>
      <w:proofErr w:type="gramEnd"/>
      <w:r>
        <w:t xml:space="preserve"> as expected?</w:t>
      </w:r>
    </w:p>
    <w:p w14:paraId="4FF4E282" w14:textId="77777777" w:rsidR="00573E8A" w:rsidRDefault="00000000">
      <w:r>
        <w:rPr>
          <w:b/>
        </w:rPr>
        <w:t>Initial costs were broadly as expected.</w:t>
      </w:r>
      <w:r>
        <w:t xml:space="preserve"> Most Indian entities applied the Ind AS 109 hedge model from first-time Ind AS adoption (from 2016–17 onwards), alongside wider Ind AS implementation. Costs related to policy updates, documentation, training and treasury–finance integration.</w:t>
      </w:r>
    </w:p>
    <w:p w14:paraId="00A28194" w14:textId="77777777" w:rsidR="00573E8A" w:rsidRDefault="00000000">
      <w:r>
        <w:rPr>
          <w:b/>
        </w:rPr>
        <w:t>Ongoing costs are higher than expected in specific areas.</w:t>
      </w:r>
      <w:r>
        <w:t xml:space="preserve"> The IASB expected lower ongoing costs because effectiveness testing would follow risk management. In practice, the main cost drivers are:</w:t>
      </w:r>
    </w:p>
    <w:p w14:paraId="7551B0E7" w14:textId="77777777" w:rsidR="00573E8A" w:rsidRDefault="00000000">
      <w:pPr>
        <w:pStyle w:val="ListParagraph"/>
        <w:numPr>
          <w:ilvl w:val="0"/>
          <w:numId w:val="9"/>
        </w:numPr>
      </w:pPr>
      <w:r>
        <w:t>parallel valuations for aligned forward elements, time value and hypothetical derivatives (Areas 2–3);</w:t>
      </w:r>
    </w:p>
    <w:p w14:paraId="59FC7937" w14:textId="77777777" w:rsidR="00573E8A" w:rsidRDefault="00000000">
      <w:pPr>
        <w:pStyle w:val="ListParagraph"/>
        <w:numPr>
          <w:ilvl w:val="0"/>
          <w:numId w:val="9"/>
        </w:numPr>
      </w:pPr>
      <w:r>
        <w:t xml:space="preserve">CVA/DVA modelling on </w:t>
      </w:r>
      <w:proofErr w:type="spellStart"/>
      <w:r>
        <w:t>uncollateralised</w:t>
      </w:r>
      <w:proofErr w:type="spellEnd"/>
      <w:r>
        <w:t xml:space="preserve"> derivatives (Area 4);</w:t>
      </w:r>
    </w:p>
    <w:p w14:paraId="45C31C8E" w14:textId="77777777" w:rsidR="00573E8A" w:rsidRDefault="00000000">
      <w:pPr>
        <w:pStyle w:val="ListParagraph"/>
        <w:numPr>
          <w:ilvl w:val="0"/>
          <w:numId w:val="9"/>
        </w:numPr>
      </w:pPr>
      <w:r>
        <w:t>tracking basis adjustments through inventory and CWIP (Area 6);</w:t>
      </w:r>
    </w:p>
    <w:p w14:paraId="692B4ACD" w14:textId="77777777" w:rsidR="00573E8A" w:rsidRDefault="00000000">
      <w:pPr>
        <w:pStyle w:val="ListParagraph"/>
        <w:numPr>
          <w:ilvl w:val="0"/>
          <w:numId w:val="9"/>
        </w:numPr>
      </w:pPr>
      <w:r>
        <w:t>dependence on external valuation specialists because treasury management systems in many Indian companies do not support hedge accounting; and</w:t>
      </w:r>
    </w:p>
    <w:p w14:paraId="3CE184CC" w14:textId="77777777" w:rsidR="00573E8A" w:rsidRDefault="00000000">
      <w:pPr>
        <w:pStyle w:val="ListParagraph"/>
        <w:numPr>
          <w:ilvl w:val="0"/>
          <w:numId w:val="9"/>
        </w:numPr>
      </w:pPr>
      <w:r>
        <w:t xml:space="preserve">audit effort on the </w:t>
      </w:r>
      <w:proofErr w:type="spellStart"/>
      <w:r>
        <w:t>judgemental</w:t>
      </w:r>
      <w:proofErr w:type="spellEnd"/>
      <w:r>
        <w:t xml:space="preserve"> areas above, especially 'highly probable' and credit risk.</w:t>
      </w:r>
    </w:p>
    <w:p w14:paraId="32B05649" w14:textId="77777777" w:rsidR="00573E8A" w:rsidRDefault="00000000">
      <w:r>
        <w:t>These costs fall hardest on mid-sized listed companies. Many therefore hedge economically but do not apply hedge accounting, accepting P&amp;L volatility instead. [Respondent may add own data on costs, number of hedge relationships, or audit hours.]</w:t>
      </w:r>
    </w:p>
    <w:p w14:paraId="31EAEFA2" w14:textId="77777777" w:rsidR="00573E8A" w:rsidRDefault="00000000">
      <w:r>
        <w:rPr>
          <w:b/>
        </w:rPr>
        <w:t>Proposals to reduce costs</w:t>
      </w:r>
      <w:r>
        <w:t xml:space="preserve"> are the practical expedients in Areas 2 and 6 and guidance in Areas 1, 3, 4 and 5. They would not reduce benefits to users, because they target calculation mechanics rather than the information reported.</w:t>
      </w:r>
    </w:p>
    <w:p w14:paraId="1CF7EDC6" w14:textId="77777777" w:rsidR="00573E8A" w:rsidRDefault="00000000">
      <w:pPr>
        <w:pStyle w:val="Heading3"/>
      </w:pPr>
      <w:r>
        <w:lastRenderedPageBreak/>
        <w:t xml:space="preserve">1(c) Are benefits to users </w:t>
      </w:r>
      <w:proofErr w:type="gramStart"/>
      <w:r>
        <w:t>largely</w:t>
      </w:r>
      <w:proofErr w:type="gramEnd"/>
      <w:r>
        <w:t xml:space="preserve"> as expected?</w:t>
      </w:r>
    </w:p>
    <w:p w14:paraId="6E698930" w14:textId="77777777" w:rsidR="00573E8A" w:rsidRDefault="00000000">
      <w:r>
        <w:rPr>
          <w:b/>
        </w:rPr>
        <w:t xml:space="preserve">Largely yes for entities that </w:t>
      </w:r>
      <w:proofErr w:type="gramStart"/>
      <w:r>
        <w:rPr>
          <w:b/>
        </w:rPr>
        <w:t>apply</w:t>
      </w:r>
      <w:proofErr w:type="gramEnd"/>
      <w:r>
        <w:rPr>
          <w:b/>
        </w:rPr>
        <w:t xml:space="preserve"> hedge accounting.</w:t>
      </w:r>
      <w:r>
        <w:t xml:space="preserve"> Reported results better reflect hedging economics, and the need for alternative performance measures to 'strip out' derivative gains has fallen.</w:t>
      </w:r>
    </w:p>
    <w:p w14:paraId="61C0E27B" w14:textId="77777777" w:rsidR="00573E8A" w:rsidRDefault="00000000">
      <w:r>
        <w:t xml:space="preserve">Two limits </w:t>
      </w:r>
      <w:proofErr w:type="gramStart"/>
      <w:r>
        <w:t>reduce</w:t>
      </w:r>
      <w:proofErr w:type="gramEnd"/>
      <w:r>
        <w:t xml:space="preserve"> the benefit:</w:t>
      </w:r>
    </w:p>
    <w:p w14:paraId="3FBD8630" w14:textId="77777777" w:rsidR="00573E8A" w:rsidRDefault="00000000">
      <w:pPr>
        <w:pStyle w:val="ListParagraph"/>
        <w:numPr>
          <w:ilvl w:val="0"/>
          <w:numId w:val="10"/>
        </w:numPr>
      </w:pPr>
      <w:r>
        <w:t>Uptake is uneven. Where mid-sized entities do not apply hedge accounting, users still see volatility that does not reflect risk management. Lower ongoing costs (1(b)) would broaden uptake.</w:t>
      </w:r>
    </w:p>
    <w:p w14:paraId="64D1C2CA" w14:textId="77777777" w:rsidR="00573E8A" w:rsidRDefault="00000000">
      <w:pPr>
        <w:pStyle w:val="ListParagraph"/>
        <w:numPr>
          <w:ilvl w:val="0"/>
          <w:numId w:val="10"/>
        </w:numPr>
      </w:pPr>
      <w:r>
        <w:t>Accounting elections (cost of hedging approach, hypothetical derivative design) differ between peers. Users cannot easily adjust for them without disclosure.</w:t>
      </w:r>
    </w:p>
    <w:p w14:paraId="5E2ABA0A" w14:textId="77777777" w:rsidR="00573E8A" w:rsidRDefault="00000000">
      <w:pPr>
        <w:pStyle w:val="Heading3"/>
      </w:pPr>
      <w:r>
        <w:t>Withdrawal of IAS 39 and transition</w:t>
      </w:r>
    </w:p>
    <w:p w14:paraId="282FF8BC" w14:textId="77777777" w:rsidR="00573E8A" w:rsidRDefault="00000000">
      <w:r>
        <w:t>We recommend that the IASB:</w:t>
      </w:r>
    </w:p>
    <w:p w14:paraId="53661BBD" w14:textId="77777777" w:rsidR="00573E8A" w:rsidRDefault="00000000">
      <w:pPr>
        <w:pStyle w:val="ListParagraph"/>
        <w:numPr>
          <w:ilvl w:val="0"/>
          <w:numId w:val="11"/>
        </w:numPr>
      </w:pPr>
      <w:r>
        <w:t xml:space="preserve">not withdraw IAS 39 hedge accounting until the Risk Mitigation Accounting model is </w:t>
      </w:r>
      <w:proofErr w:type="spellStart"/>
      <w:r>
        <w:t>finalised</w:t>
      </w:r>
      <w:proofErr w:type="spellEnd"/>
      <w:r>
        <w:t xml:space="preserve"> and effective, so that banks and other entities managing dynamic portfolios have a suitable alternative;</w:t>
      </w:r>
    </w:p>
    <w:p w14:paraId="0F42FA87" w14:textId="77777777" w:rsidR="00573E8A" w:rsidRDefault="00000000">
      <w:pPr>
        <w:pStyle w:val="ListParagraph"/>
        <w:numPr>
          <w:ilvl w:val="0"/>
          <w:numId w:val="11"/>
        </w:numPr>
      </w:pPr>
      <w:r>
        <w:t>provide transition relief allowing existing IAS 39 hedge relationships to continue without discontinuation where they meet the IFRS 9 criteria, building on paras 7.2.22–7.2.26; and</w:t>
      </w:r>
    </w:p>
    <w:p w14:paraId="1791D0DB" w14:textId="77777777" w:rsidR="00573E8A" w:rsidRDefault="00000000">
      <w:pPr>
        <w:pStyle w:val="ListParagraph"/>
        <w:numPr>
          <w:ilvl w:val="0"/>
          <w:numId w:val="11"/>
        </w:numPr>
      </w:pPr>
      <w:r>
        <w:t>consider jurisdictions such as India, where banks have not yet adopted Ind AS. Their eventual move should be to a stable, final model rather than to an interim one.</w:t>
      </w:r>
    </w:p>
    <w:p w14:paraId="500623CB" w14:textId="77777777" w:rsidR="00573E8A" w:rsidRDefault="00000000">
      <w:pPr>
        <w:pStyle w:val="Heading2"/>
      </w:pPr>
      <w:r>
        <w:t>Question 2 — Hedge accounting disclosures in IFRS 7 (Ind AS 107)</w:t>
      </w:r>
    </w:p>
    <w:p w14:paraId="16981278" w14:textId="77777777" w:rsidR="00573E8A" w:rsidRDefault="00000000">
      <w:pPr>
        <w:pStyle w:val="Heading3"/>
      </w:pPr>
      <w:r>
        <w:t>2(a) Do the disclosure requirements meet their objective?</w:t>
      </w:r>
    </w:p>
    <w:p w14:paraId="63093266" w14:textId="77777777" w:rsidR="00573E8A" w:rsidRDefault="00000000">
      <w:r>
        <w:rPr>
          <w:b/>
        </w:rPr>
        <w:t>Partly.</w:t>
      </w:r>
      <w:r>
        <w:t xml:space="preserve"> The structure in IFRS 7 paras 21A–24G (risk management strategy; amount, timing and uncertainty of future cash flows; effects of hedge accounting) is sound and should be retained. The quantitative tables have improved transparency. However, in Indian practice the objective is not fully met because:</w:t>
      </w:r>
    </w:p>
    <w:p w14:paraId="72DF64B8" w14:textId="77777777" w:rsidR="00573E8A" w:rsidRDefault="00000000">
      <w:pPr>
        <w:pStyle w:val="ListParagraph"/>
        <w:numPr>
          <w:ilvl w:val="0"/>
          <w:numId w:val="12"/>
        </w:numPr>
      </w:pPr>
      <w:r>
        <w:rPr>
          <w:b/>
        </w:rPr>
        <w:t>Risk management strategy disclosures (paras 22A–22C) are mostly boilerplate.</w:t>
      </w:r>
      <w:r>
        <w:t xml:space="preserve"> Many reports repeat policy language ('the company uses forwards to hedge foreign currency risk') without saying how much of the exposure is hedged, over what horizon, or how that changed.</w:t>
      </w:r>
    </w:p>
    <w:p w14:paraId="7F27D5BC" w14:textId="77777777" w:rsidR="00573E8A" w:rsidRDefault="00000000">
      <w:pPr>
        <w:pStyle w:val="ListParagraph"/>
        <w:numPr>
          <w:ilvl w:val="0"/>
          <w:numId w:val="12"/>
        </w:numPr>
      </w:pPr>
      <w:r>
        <w:rPr>
          <w:b/>
        </w:rPr>
        <w:t>Timing and amount disclosures (paras 23A–23F) lack context.</w:t>
      </w:r>
      <w:r>
        <w:t xml:space="preserve"> Average hedged rates are disclosed without the spot or forward rate at year end, so users cannot judge whether hedges are in or out of the money.</w:t>
      </w:r>
    </w:p>
    <w:p w14:paraId="363F86E8" w14:textId="77777777" w:rsidR="00573E8A" w:rsidRDefault="00000000">
      <w:pPr>
        <w:pStyle w:val="ListParagraph"/>
        <w:numPr>
          <w:ilvl w:val="0"/>
          <w:numId w:val="12"/>
        </w:numPr>
      </w:pPr>
      <w:r>
        <w:rPr>
          <w:b/>
        </w:rPr>
        <w:t>Effects disclosures (paras 24A–24F) are inconsistent.</w:t>
      </w:r>
      <w:r>
        <w:t xml:space="preserve"> Some entities give period changes in the fair value of hedged items, others cumulative amounts. Ineffectiveness is often netted within 'other income' or 'finance costs'.</w:t>
      </w:r>
    </w:p>
    <w:p w14:paraId="3E2744A1" w14:textId="77777777" w:rsidR="00573E8A" w:rsidRDefault="00000000">
      <w:pPr>
        <w:pStyle w:val="ListParagraph"/>
        <w:numPr>
          <w:ilvl w:val="0"/>
          <w:numId w:val="12"/>
        </w:numPr>
      </w:pPr>
      <w:r>
        <w:rPr>
          <w:b/>
        </w:rPr>
        <w:t>Elections are invisible.</w:t>
      </w:r>
      <w:r>
        <w:t xml:space="preserve"> Users cannot see whether an entity applies the cost of hedging approach to forward elements, or how it measures ineffectiveness, which affects comparability (see Question 1, Area 2).</w:t>
      </w:r>
    </w:p>
    <w:p w14:paraId="03809FDF" w14:textId="77777777" w:rsidR="00573E8A" w:rsidRDefault="00000000">
      <w:pPr>
        <w:pStyle w:val="Heading3"/>
      </w:pPr>
      <w:r>
        <w:lastRenderedPageBreak/>
        <w:t xml:space="preserve">2(b) Are costs </w:t>
      </w:r>
      <w:proofErr w:type="gramStart"/>
      <w:r>
        <w:t>largely</w:t>
      </w:r>
      <w:proofErr w:type="gramEnd"/>
      <w:r>
        <w:t xml:space="preserve"> as expected?</w:t>
      </w:r>
    </w:p>
    <w:p w14:paraId="7881D725" w14:textId="77777777" w:rsidR="00573E8A" w:rsidRDefault="00000000">
      <w:r>
        <w:rPr>
          <w:b/>
        </w:rPr>
        <w:t>No — ongoing costs are higher than expected for many preparers.</w:t>
      </w:r>
      <w:r>
        <w:t xml:space="preserve"> The IASB expected costs to fall once data capture was built into systems. In India this has often not happened.</w:t>
      </w:r>
    </w:p>
    <w:tbl>
      <w:tblPr>
        <w:tblStyle w:val="TableGrid"/>
        <w:tblW w:w="0" w:type="auto"/>
        <w:tblLayout w:type="fixed"/>
        <w:tblLook w:val="0420" w:firstRow="1" w:lastRow="0" w:firstColumn="0" w:lastColumn="0" w:noHBand="0" w:noVBand="1"/>
      </w:tblPr>
      <w:tblGrid>
        <w:gridCol w:w="3120"/>
        <w:gridCol w:w="3120"/>
        <w:gridCol w:w="3120"/>
      </w:tblGrid>
      <w:tr w:rsidR="00573E8A" w14:paraId="578297D3" w14:textId="77777777">
        <w:trPr>
          <w:tblHeader/>
        </w:trPr>
        <w:tc>
          <w:tcPr>
            <w:tcW w:w="3120" w:type="dxa"/>
            <w:shd w:val="clear" w:color="auto" w:fill="F2F2F2"/>
          </w:tcPr>
          <w:p w14:paraId="28279BEE" w14:textId="77777777" w:rsidR="00573E8A" w:rsidRDefault="00000000">
            <w:r>
              <w:t>Requirement</w:t>
            </w:r>
          </w:p>
        </w:tc>
        <w:tc>
          <w:tcPr>
            <w:tcW w:w="3120" w:type="dxa"/>
            <w:shd w:val="clear" w:color="auto" w:fill="F2F2F2"/>
          </w:tcPr>
          <w:p w14:paraId="1295CC1C" w14:textId="77777777" w:rsidR="00573E8A" w:rsidRDefault="00000000">
            <w:r>
              <w:t>Cost driver</w:t>
            </w:r>
          </w:p>
        </w:tc>
        <w:tc>
          <w:tcPr>
            <w:tcW w:w="3120" w:type="dxa"/>
            <w:shd w:val="clear" w:color="auto" w:fill="F2F2F2"/>
          </w:tcPr>
          <w:p w14:paraId="17C40F10" w14:textId="77777777" w:rsidR="00573E8A" w:rsidRDefault="00000000">
            <w:r>
              <w:t>Suggested relief</w:t>
            </w:r>
          </w:p>
        </w:tc>
      </w:tr>
      <w:tr w:rsidR="00573E8A" w14:paraId="335C2BF0" w14:textId="77777777">
        <w:tc>
          <w:tcPr>
            <w:tcW w:w="3120" w:type="dxa"/>
          </w:tcPr>
          <w:p w14:paraId="480770A3" w14:textId="77777777" w:rsidR="00573E8A" w:rsidRDefault="00000000">
            <w:r>
              <w:t>Para 24A — hedging instruments by risk category (carrying amount, notional, line item, fair value change used for ineffectiveness)</w:t>
            </w:r>
          </w:p>
        </w:tc>
        <w:tc>
          <w:tcPr>
            <w:tcW w:w="3120" w:type="dxa"/>
          </w:tcPr>
          <w:p w14:paraId="60790823" w14:textId="77777777" w:rsidR="00573E8A" w:rsidRDefault="00000000">
            <w:r>
              <w:t>Data split across treasury systems, bank confirmations and spreadsheets; manual mapping to balance sheet line items</w:t>
            </w:r>
          </w:p>
        </w:tc>
        <w:tc>
          <w:tcPr>
            <w:tcW w:w="3120" w:type="dxa"/>
          </w:tcPr>
          <w:p w14:paraId="1E3A0846" w14:textId="77777777" w:rsidR="00573E8A" w:rsidRDefault="00000000">
            <w:r>
              <w:t>Allow aggregation by risk category and instrument type, with a single combined table</w:t>
            </w:r>
          </w:p>
        </w:tc>
      </w:tr>
      <w:tr w:rsidR="00573E8A" w14:paraId="01228BB4" w14:textId="77777777">
        <w:tc>
          <w:tcPr>
            <w:tcW w:w="3120" w:type="dxa"/>
          </w:tcPr>
          <w:p w14:paraId="720E6D1A" w14:textId="77777777" w:rsidR="00573E8A" w:rsidRDefault="00000000">
            <w:r>
              <w:t>Para 24B — hedged items (carrying amount, accumulated fair value hedge adjustments, value change used for ineffectiveness, CFHR balances for continuing and discontinued hedges)</w:t>
            </w:r>
          </w:p>
        </w:tc>
        <w:tc>
          <w:tcPr>
            <w:tcW w:w="3120" w:type="dxa"/>
          </w:tcPr>
          <w:p w14:paraId="2E7C7343" w14:textId="77777777" w:rsidR="00573E8A" w:rsidRDefault="00000000">
            <w:r>
              <w:t>Hedged-item data is not held in ERP systems; requires valuation specialists</w:t>
            </w:r>
          </w:p>
        </w:tc>
        <w:tc>
          <w:tcPr>
            <w:tcW w:w="3120" w:type="dxa"/>
          </w:tcPr>
          <w:p w14:paraId="775E8BB5" w14:textId="77777777" w:rsidR="00573E8A" w:rsidRDefault="00000000">
            <w:r>
              <w:t>Clarify period vs cumulative basis; allow simplification where critical terms match and ineffectiveness is nil</w:t>
            </w:r>
          </w:p>
        </w:tc>
      </w:tr>
      <w:tr w:rsidR="00573E8A" w14:paraId="2D864E8E" w14:textId="77777777">
        <w:tc>
          <w:tcPr>
            <w:tcW w:w="3120" w:type="dxa"/>
          </w:tcPr>
          <w:p w14:paraId="25563010" w14:textId="77777777" w:rsidR="00573E8A" w:rsidRDefault="00000000">
            <w:r>
              <w:t>Para 23B — maturity profile and average price or rate</w:t>
            </w:r>
          </w:p>
        </w:tc>
        <w:tc>
          <w:tcPr>
            <w:tcW w:w="3120" w:type="dxa"/>
          </w:tcPr>
          <w:p w14:paraId="767EAE14" w14:textId="77777777" w:rsidR="00573E8A" w:rsidRDefault="00000000">
            <w:r>
              <w:t>Rate bucketing by currency and maturity is manual for entities with many small forwards</w:t>
            </w:r>
          </w:p>
        </w:tc>
        <w:tc>
          <w:tcPr>
            <w:tcW w:w="3120" w:type="dxa"/>
          </w:tcPr>
          <w:p w14:paraId="74E9198E" w14:textId="77777777" w:rsidR="00573E8A" w:rsidRDefault="00000000">
            <w:r>
              <w:t>Permit wider maturity bands and weighted averages per currency pair</w:t>
            </w:r>
          </w:p>
        </w:tc>
      </w:tr>
      <w:tr w:rsidR="00573E8A" w14:paraId="6087CDB4" w14:textId="77777777">
        <w:tc>
          <w:tcPr>
            <w:tcW w:w="3120" w:type="dxa"/>
          </w:tcPr>
          <w:p w14:paraId="14805BB4" w14:textId="77777777" w:rsidR="00573E8A" w:rsidRDefault="00000000">
            <w:r>
              <w:t>Paras 24C and 24E — reconciliation of each component of equity by risk category</w:t>
            </w:r>
          </w:p>
        </w:tc>
        <w:tc>
          <w:tcPr>
            <w:tcW w:w="3120" w:type="dxa"/>
          </w:tcPr>
          <w:p w14:paraId="1B4AD21F" w14:textId="77777777" w:rsidR="00573E8A" w:rsidRDefault="00000000">
            <w:r>
              <w:t>Separate tracking of cash flow hedge reserve and cost of hedging reserve by risk category</w:t>
            </w:r>
          </w:p>
        </w:tc>
        <w:tc>
          <w:tcPr>
            <w:tcW w:w="3120" w:type="dxa"/>
          </w:tcPr>
          <w:p w14:paraId="206BBEEA" w14:textId="77777777" w:rsidR="00573E8A" w:rsidRDefault="00000000">
            <w:r>
              <w:t>Retain (most useful to users) but provide an illustrative template</w:t>
            </w:r>
          </w:p>
        </w:tc>
      </w:tr>
      <w:tr w:rsidR="00573E8A" w14:paraId="5C2CAECC" w14:textId="77777777">
        <w:tc>
          <w:tcPr>
            <w:tcW w:w="3120" w:type="dxa"/>
          </w:tcPr>
          <w:p w14:paraId="54EB6328" w14:textId="77777777" w:rsidR="00573E8A" w:rsidRDefault="00000000">
            <w:r>
              <w:t xml:space="preserve">Audit of </w:t>
            </w:r>
            <w:proofErr w:type="gramStart"/>
            <w:r>
              <w:t>all of</w:t>
            </w:r>
            <w:proofErr w:type="gramEnd"/>
            <w:r>
              <w:t xml:space="preserve"> the above</w:t>
            </w:r>
          </w:p>
        </w:tc>
        <w:tc>
          <w:tcPr>
            <w:tcW w:w="3120" w:type="dxa"/>
          </w:tcPr>
          <w:p w14:paraId="6547DD88" w14:textId="77777777" w:rsidR="00573E8A" w:rsidRDefault="00000000">
            <w:r>
              <w:t>Disclosures are detailed and numerical, and so attract extensive audit testing</w:t>
            </w:r>
          </w:p>
        </w:tc>
        <w:tc>
          <w:tcPr>
            <w:tcW w:w="3120" w:type="dxa"/>
          </w:tcPr>
          <w:p w14:paraId="110A88BF" w14:textId="77777777" w:rsidR="00573E8A" w:rsidRDefault="00000000">
            <w:r>
              <w:t>Fewer, more focused disclosures would reduce audit fees</w:t>
            </w:r>
          </w:p>
        </w:tc>
      </w:tr>
    </w:tbl>
    <w:p w14:paraId="393AB6C7" w14:textId="77777777" w:rsidR="00573E8A" w:rsidRDefault="00000000">
      <w:r>
        <w:t>[Respondent may add own evidence, e.g. person-days spent on the hedge note each year.]</w:t>
      </w:r>
    </w:p>
    <w:p w14:paraId="1C82D500" w14:textId="77777777" w:rsidR="00573E8A" w:rsidRDefault="00000000">
      <w:r>
        <w:rPr>
          <w:b/>
        </w:rPr>
        <w:t>Effect on benefits.</w:t>
      </w:r>
      <w:r>
        <w:t xml:space="preserve"> We do not think the suggested relief would reduce useful information. It removes granularity users rarely use and redirects effort to information they say they need (2(c)).</w:t>
      </w:r>
    </w:p>
    <w:p w14:paraId="62321945" w14:textId="77777777" w:rsidR="00573E8A" w:rsidRDefault="00000000">
      <w:pPr>
        <w:pStyle w:val="Heading3"/>
      </w:pPr>
      <w:r>
        <w:t xml:space="preserve">2(c) Are benefits to users </w:t>
      </w:r>
      <w:proofErr w:type="gramStart"/>
      <w:r>
        <w:t>largely</w:t>
      </w:r>
      <w:proofErr w:type="gramEnd"/>
      <w:r>
        <w:t xml:space="preserve"> as expected?</w:t>
      </w:r>
    </w:p>
    <w:p w14:paraId="370055B7" w14:textId="77777777" w:rsidR="00573E8A" w:rsidRDefault="00000000">
      <w:r>
        <w:rPr>
          <w:b/>
        </w:rPr>
        <w:t>(</w:t>
      </w:r>
      <w:proofErr w:type="spellStart"/>
      <w:r>
        <w:rPr>
          <w:b/>
        </w:rPr>
        <w:t>i</w:t>
      </w:r>
      <w:proofErr w:type="spellEnd"/>
      <w:r>
        <w:rPr>
          <w:b/>
        </w:rPr>
        <w:t>) Most useful disclosures.</w:t>
      </w:r>
      <w:r>
        <w:t xml:space="preserve"> In our experience, users and analysts value:</w:t>
      </w:r>
    </w:p>
    <w:p w14:paraId="22E52BAB" w14:textId="77777777" w:rsidR="00573E8A" w:rsidRDefault="00000000">
      <w:pPr>
        <w:pStyle w:val="ListParagraph"/>
        <w:numPr>
          <w:ilvl w:val="0"/>
          <w:numId w:val="13"/>
        </w:numPr>
      </w:pPr>
      <w:r>
        <w:t>the reconciliation of the cash flow hedge reserve and cost of hedging reserve, because it shows what will flow to P&amp;L in future periods;</w:t>
      </w:r>
    </w:p>
    <w:p w14:paraId="4CC8FEF6" w14:textId="77777777" w:rsidR="00573E8A" w:rsidRDefault="00000000">
      <w:pPr>
        <w:pStyle w:val="ListParagraph"/>
        <w:numPr>
          <w:ilvl w:val="0"/>
          <w:numId w:val="13"/>
        </w:numPr>
      </w:pPr>
      <w:r>
        <w:t>notional amounts and maturity profile of hedging instruments by risk; and</w:t>
      </w:r>
    </w:p>
    <w:p w14:paraId="55E9F3EA" w14:textId="77777777" w:rsidR="00573E8A" w:rsidRDefault="00000000">
      <w:pPr>
        <w:pStyle w:val="ListParagraph"/>
        <w:numPr>
          <w:ilvl w:val="0"/>
          <w:numId w:val="13"/>
        </w:numPr>
      </w:pPr>
      <w:r>
        <w:t>the amount of ineffectiveness and the line item in which it is presented.</w:t>
      </w:r>
    </w:p>
    <w:p w14:paraId="0B3F3BF7" w14:textId="77777777" w:rsidR="00573E8A" w:rsidRDefault="00000000">
      <w:r>
        <w:rPr>
          <w:b/>
        </w:rPr>
        <w:t>(ii) Is the information sufficient?</w:t>
      </w:r>
      <w:r>
        <w:t xml:space="preserve"> Not fully. Users still cannot readily tell </w:t>
      </w:r>
      <w:r>
        <w:rPr>
          <w:b/>
        </w:rPr>
        <w:t>how much of the exposure is hedged.</w:t>
      </w:r>
      <w:r>
        <w:t xml:space="preserve"> Hedge accounting disclosures cover only designated relationships. Exposures hedged </w:t>
      </w:r>
      <w:r>
        <w:lastRenderedPageBreak/>
        <w:t>economically, and exposures left unhedged, sit elsewhere in the financial risk disclosures (IFRS 7 paras 31–42) or are not disclosed.</w:t>
      </w:r>
    </w:p>
    <w:p w14:paraId="13EC320C" w14:textId="77777777" w:rsidR="00573E8A" w:rsidRDefault="00000000">
      <w:r>
        <w:rPr>
          <w:b/>
        </w:rPr>
        <w:t>(iii) How to improve usefulness.</w:t>
      </w:r>
      <w:r>
        <w:t xml:space="preserve"> We recommend that the IASB:</w:t>
      </w:r>
    </w:p>
    <w:p w14:paraId="6748BC7D" w14:textId="77777777" w:rsidR="00573E8A" w:rsidRDefault="00000000">
      <w:pPr>
        <w:pStyle w:val="ListParagraph"/>
        <w:numPr>
          <w:ilvl w:val="0"/>
          <w:numId w:val="14"/>
        </w:numPr>
      </w:pPr>
      <w:r>
        <w:rPr>
          <w:b/>
        </w:rPr>
        <w:t>Require a hedge coverage disclosure</w:t>
      </w:r>
      <w:r>
        <w:t xml:space="preserve"> — for each material risk, the exposure, the portion hedged (designated and economic), and the time horizon, linked to market risk sensitivity </w:t>
      </w:r>
      <w:proofErr w:type="gramStart"/>
      <w:r>
        <w:t>under para</w:t>
      </w:r>
      <w:proofErr w:type="gramEnd"/>
      <w:r>
        <w:t xml:space="preserve"> 40.</w:t>
      </w:r>
    </w:p>
    <w:p w14:paraId="6C740836" w14:textId="77777777" w:rsidR="00573E8A" w:rsidRDefault="00000000">
      <w:pPr>
        <w:pStyle w:val="ListParagraph"/>
        <w:numPr>
          <w:ilvl w:val="0"/>
          <w:numId w:val="14"/>
        </w:numPr>
      </w:pPr>
      <w:r>
        <w:rPr>
          <w:b/>
        </w:rPr>
        <w:t>Require disclosure of key elections</w:t>
      </w:r>
      <w:r>
        <w:t xml:space="preserve"> — application of the cost of hedging approach to forward elements and basis spreads, and the method for measuring ineffectiveness.</w:t>
      </w:r>
    </w:p>
    <w:p w14:paraId="3A6BE2AC" w14:textId="77777777" w:rsidR="00573E8A" w:rsidRDefault="00000000">
      <w:pPr>
        <w:pStyle w:val="ListParagraph"/>
        <w:numPr>
          <w:ilvl w:val="0"/>
          <w:numId w:val="14"/>
        </w:numPr>
      </w:pPr>
      <w:r>
        <w:rPr>
          <w:b/>
        </w:rPr>
        <w:t>Require context for average rates</w:t>
      </w:r>
      <w:r>
        <w:t xml:space="preserve"> — disclose the year-end market rate alongside the average hedged rate.</w:t>
      </w:r>
    </w:p>
    <w:p w14:paraId="57E3BF6B" w14:textId="77777777" w:rsidR="00573E8A" w:rsidRDefault="00000000">
      <w:pPr>
        <w:pStyle w:val="ListParagraph"/>
        <w:numPr>
          <w:ilvl w:val="0"/>
          <w:numId w:val="14"/>
        </w:numPr>
      </w:pPr>
      <w:r>
        <w:rPr>
          <w:b/>
        </w:rPr>
        <w:t>Specify the basis</w:t>
      </w:r>
      <w:r>
        <w:t xml:space="preserve"> — period-to-date or cumulative fair value changes, applied consistently.</w:t>
      </w:r>
    </w:p>
    <w:p w14:paraId="57334B07" w14:textId="77777777" w:rsidR="00573E8A" w:rsidRDefault="00000000">
      <w:pPr>
        <w:pStyle w:val="ListParagraph"/>
        <w:numPr>
          <w:ilvl w:val="0"/>
          <w:numId w:val="14"/>
        </w:numPr>
      </w:pPr>
      <w:r>
        <w:rPr>
          <w:b/>
        </w:rPr>
        <w:t xml:space="preserve">Require separate </w:t>
      </w:r>
      <w:proofErr w:type="gramStart"/>
      <w:r>
        <w:rPr>
          <w:b/>
        </w:rPr>
        <w:t>presentation</w:t>
      </w:r>
      <w:proofErr w:type="gramEnd"/>
      <w:r>
        <w:rPr>
          <w:b/>
        </w:rPr>
        <w:t xml:space="preserve"> or </w:t>
      </w:r>
      <w:proofErr w:type="gramStart"/>
      <w:r>
        <w:rPr>
          <w:b/>
        </w:rPr>
        <w:t>disclosure</w:t>
      </w:r>
      <w:proofErr w:type="gramEnd"/>
      <w:r>
        <w:rPr>
          <w:b/>
        </w:rPr>
        <w:t xml:space="preserve"> of ineffectiveness</w:t>
      </w:r>
      <w:r>
        <w:t xml:space="preserve"> and of gains or losses on economic hedges not designated, so users can see total derivative results.</w:t>
      </w:r>
    </w:p>
    <w:p w14:paraId="65D23F9B" w14:textId="77777777" w:rsidR="00573E8A" w:rsidRDefault="00000000">
      <w:pPr>
        <w:pStyle w:val="ListParagraph"/>
        <w:numPr>
          <w:ilvl w:val="0"/>
          <w:numId w:val="14"/>
        </w:numPr>
      </w:pPr>
      <w:r>
        <w:rPr>
          <w:b/>
        </w:rPr>
        <w:t>Ask for brief qualitative disclosure</w:t>
      </w:r>
      <w:r>
        <w:t xml:space="preserve"> of significant discontinuations, rebalancing and changes in hedging strategy, with reasons.</w:t>
      </w:r>
    </w:p>
    <w:p w14:paraId="4DDF0502" w14:textId="77777777" w:rsidR="00573E8A" w:rsidRDefault="00000000">
      <w:pPr>
        <w:pStyle w:val="ListParagraph"/>
        <w:numPr>
          <w:ilvl w:val="0"/>
          <w:numId w:val="14"/>
        </w:numPr>
      </w:pPr>
      <w:r>
        <w:rPr>
          <w:b/>
        </w:rPr>
        <w:t>Provide illustrative templates</w:t>
      </w:r>
      <w:r>
        <w:t xml:space="preserve"> for the core tables. This would improve comparability and support digital reporting.</w:t>
      </w:r>
    </w:p>
    <w:p w14:paraId="7FD0068C" w14:textId="77777777" w:rsidR="00573E8A" w:rsidRDefault="00000000">
      <w:pPr>
        <w:pStyle w:val="ListParagraph"/>
        <w:numPr>
          <w:ilvl w:val="0"/>
          <w:numId w:val="14"/>
        </w:numPr>
      </w:pPr>
      <w:r>
        <w:rPr>
          <w:b/>
        </w:rPr>
        <w:t>Apply proportionality.</w:t>
      </w:r>
      <w:r>
        <w:t xml:space="preserve"> Entities with </w:t>
      </w:r>
      <w:proofErr w:type="gramStart"/>
      <w:r>
        <w:t>few,</w:t>
      </w:r>
      <w:proofErr w:type="gramEnd"/>
      <w:r>
        <w:t xml:space="preserve"> simple hedges (for example, plain forwards on trade receivables and payables) could provide reduced disclosures. Any reduced-disclosure regime for subsidiaries should be considered for the hedge disclosures too.</w:t>
      </w:r>
    </w:p>
    <w:p w14:paraId="6A982D7B" w14:textId="77777777" w:rsidR="00573E8A" w:rsidRDefault="00000000">
      <w:r>
        <w:t xml:space="preserve">These changes would shift the note from volume to </w:t>
      </w:r>
      <w:proofErr w:type="gramStart"/>
      <w:r>
        <w:t>decision-</w:t>
      </w:r>
      <w:proofErr w:type="gramEnd"/>
      <w:r>
        <w:t>useful content without adding net cost.</w:t>
      </w:r>
    </w:p>
    <w:p w14:paraId="6B15B500" w14:textId="77777777" w:rsidR="00573E8A" w:rsidRDefault="00000000">
      <w:pPr>
        <w:pStyle w:val="Heading2"/>
      </w:pPr>
      <w:r>
        <w:t>Question 3 — Other matters</w:t>
      </w:r>
    </w:p>
    <w:p w14:paraId="3ACDC1BA" w14:textId="77777777" w:rsidR="00573E8A" w:rsidRDefault="00000000">
      <w:r>
        <w:t>We suggest the IASB also examine the following.</w:t>
      </w:r>
    </w:p>
    <w:p w14:paraId="028DD8D0" w14:textId="77777777" w:rsidR="00573E8A" w:rsidRDefault="00000000">
      <w:pPr>
        <w:pStyle w:val="ListParagraph"/>
        <w:numPr>
          <w:ilvl w:val="0"/>
          <w:numId w:val="15"/>
        </w:numPr>
      </w:pPr>
      <w:r>
        <w:rPr>
          <w:b/>
        </w:rPr>
        <w:t>Consistency with the Risk Mitigation Accounting project.</w:t>
      </w:r>
      <w:r>
        <w:t xml:space="preserve"> Concepts developed there (for example, how risk management strategy is evidenced, and how changes to hedges are treated) should be checked against the general model. Divergent concepts would add cost for entities that use both.</w:t>
      </w:r>
    </w:p>
    <w:p w14:paraId="16C347AE" w14:textId="77777777" w:rsidR="00573E8A" w:rsidRDefault="00000000">
      <w:pPr>
        <w:pStyle w:val="ListParagraph"/>
        <w:numPr>
          <w:ilvl w:val="0"/>
          <w:numId w:val="15"/>
        </w:numPr>
      </w:pPr>
      <w:r>
        <w:rPr>
          <w:b/>
        </w:rPr>
        <w:t xml:space="preserve">Interaction with IFRS 18 </w:t>
      </w:r>
      <w:r>
        <w:rPr>
          <w:b/>
          <w:i/>
        </w:rPr>
        <w:t>Presentation and Disclosure in Financial Statements</w:t>
      </w:r>
      <w:r>
        <w:rPr>
          <w:b/>
        </w:rPr>
        <w:t>.</w:t>
      </w:r>
      <w:r>
        <w:t xml:space="preserve"> IFRS 18 links the classification of gains and losses on derivatives used for risk management to the category affected by the managed risk. Guidance is needed on where hedge ineffectiveness, amounts reclassified from the cost of hedging </w:t>
      </w:r>
      <w:proofErr w:type="gramStart"/>
      <w:r>
        <w:t>reserve</w:t>
      </w:r>
      <w:proofErr w:type="gramEnd"/>
      <w:r>
        <w:t>, and gains or losses on economic hedges are presented. This affects operating profit comparisons in India once Ind AS adopts equivalent requirements.</w:t>
      </w:r>
    </w:p>
    <w:p w14:paraId="5CA1A6D1" w14:textId="77777777" w:rsidR="00573E8A" w:rsidRDefault="00000000">
      <w:pPr>
        <w:pStyle w:val="ListParagraph"/>
        <w:numPr>
          <w:ilvl w:val="0"/>
          <w:numId w:val="15"/>
        </w:numPr>
      </w:pPr>
      <w:r>
        <w:rPr>
          <w:b/>
        </w:rPr>
        <w:t>Deal-contingent and acquisition-related hedges.</w:t>
      </w:r>
      <w:r>
        <w:t xml:space="preserve"> Hedges of the purchase price of a business combination raise questions on 'highly probable' and on whether the risk can affect P&amp;L. Indian outbound acquirers use deal-contingent forwards. Clarity would help.</w:t>
      </w:r>
    </w:p>
    <w:p w14:paraId="40899125" w14:textId="77777777" w:rsidR="00573E8A" w:rsidRDefault="00000000">
      <w:pPr>
        <w:pStyle w:val="ListParagraph"/>
        <w:numPr>
          <w:ilvl w:val="0"/>
          <w:numId w:val="15"/>
        </w:numPr>
      </w:pPr>
      <w:r>
        <w:rPr>
          <w:b/>
        </w:rPr>
        <w:t>Intragroup items and net investment hedges (paras 6.3.5–6.3.6).</w:t>
      </w:r>
      <w:r>
        <w:t xml:space="preserve"> Indian groups with overseas subsidiaries hedge intragroup monetary items and net investments. Guidance on </w:t>
      </w:r>
      <w:proofErr w:type="gramStart"/>
      <w:r>
        <w:t>forecast</w:t>
      </w:r>
      <w:proofErr w:type="gramEnd"/>
      <w:r>
        <w:t xml:space="preserve"> intragroup transactions and on designating layered net investment hedges would reduce diversity.</w:t>
      </w:r>
    </w:p>
    <w:p w14:paraId="7891FD86" w14:textId="77777777" w:rsidR="00573E8A" w:rsidRDefault="00000000">
      <w:pPr>
        <w:pStyle w:val="ListParagraph"/>
        <w:numPr>
          <w:ilvl w:val="0"/>
          <w:numId w:val="15"/>
        </w:numPr>
      </w:pPr>
      <w:r>
        <w:rPr>
          <w:b/>
        </w:rPr>
        <w:lastRenderedPageBreak/>
        <w:t>Sustainability-linked derivatives.</w:t>
      </w:r>
      <w:r>
        <w:t xml:space="preserve"> Derivatives with ESG-linked pricing adjustments are emerging. The IASB should consider whether such features affect hedge effectiveness or eligibility as hedging instruments.</w:t>
      </w:r>
    </w:p>
    <w:p w14:paraId="13B7E9A8" w14:textId="77777777" w:rsidR="00573E8A" w:rsidRDefault="00000000">
      <w:pPr>
        <w:pStyle w:val="ListParagraph"/>
        <w:numPr>
          <w:ilvl w:val="0"/>
          <w:numId w:val="15"/>
        </w:numPr>
      </w:pPr>
      <w:r>
        <w:rPr>
          <w:b/>
        </w:rPr>
        <w:t>Supporting material.</w:t>
      </w:r>
      <w:r>
        <w:t xml:space="preserve"> Many issues in this letter are best addressed by educational material and examples rather than amendments. A regularly updated set of illustrative examples on IFRS 9 hedging would reduce </w:t>
      </w:r>
      <w:proofErr w:type="gramStart"/>
      <w:r>
        <w:t>cost</w:t>
      </w:r>
      <w:proofErr w:type="gramEnd"/>
      <w:r>
        <w:t xml:space="preserve"> and diversity for preparers and auditors in emerging markets.</w:t>
      </w:r>
    </w:p>
    <w:p w14:paraId="118B7BC5" w14:textId="77777777" w:rsidR="00573E8A" w:rsidRDefault="00000000">
      <w:pPr>
        <w:pStyle w:val="Heading3"/>
      </w:pPr>
      <w:r>
        <w:t>Matters for the ASB's attention in India</w:t>
      </w:r>
    </w:p>
    <w:p w14:paraId="2F17EEB6" w14:textId="77777777" w:rsidR="00573E8A" w:rsidRDefault="00000000">
      <w:r>
        <w:t>While outside the IASB's scope, we request the ASB to consider:</w:t>
      </w:r>
    </w:p>
    <w:p w14:paraId="442D9428" w14:textId="77777777" w:rsidR="00573E8A" w:rsidRDefault="00000000">
      <w:pPr>
        <w:pStyle w:val="ListParagraph"/>
        <w:numPr>
          <w:ilvl w:val="0"/>
          <w:numId w:val="16"/>
        </w:numPr>
      </w:pPr>
      <w:r>
        <w:t>issuing educational material on Ind AS 109 hedge accounting with Indian fact patterns (USD/INR forwards, ECB swaps, commodity hedges, renewable PPAs);</w:t>
      </w:r>
    </w:p>
    <w:p w14:paraId="2399ACC8" w14:textId="77777777" w:rsidR="00573E8A" w:rsidRDefault="00000000">
      <w:pPr>
        <w:pStyle w:val="ListParagraph"/>
        <w:numPr>
          <w:ilvl w:val="0"/>
          <w:numId w:val="16"/>
        </w:numPr>
      </w:pPr>
      <w:r>
        <w:t>engaging with RBI on how hedge documentation for regulatory purposes and for 'highly probable' assessments might be aligned to reduce duplication;</w:t>
      </w:r>
    </w:p>
    <w:p w14:paraId="59863DDC" w14:textId="77777777" w:rsidR="00573E8A" w:rsidRDefault="00000000">
      <w:pPr>
        <w:pStyle w:val="ListParagraph"/>
        <w:numPr>
          <w:ilvl w:val="0"/>
          <w:numId w:val="16"/>
        </w:numPr>
      </w:pPr>
      <w:r>
        <w:t>clarifying the interaction of Ind AS 101 para D13AA with hedge accounting for long-term foreign currency monetary items; and</w:t>
      </w:r>
    </w:p>
    <w:p w14:paraId="0E000C86" w14:textId="77777777" w:rsidR="00573E8A" w:rsidRDefault="00000000">
      <w:pPr>
        <w:pStyle w:val="ListParagraph"/>
        <w:numPr>
          <w:ilvl w:val="0"/>
          <w:numId w:val="16"/>
        </w:numPr>
      </w:pPr>
      <w:r>
        <w:t>ensuring that, when Ind AS is implemented for banks, hedge accounting guidance (including any Risk Mitigation Accounting model) is ready in time.</w:t>
      </w:r>
    </w:p>
    <w:p w14:paraId="32ED1DDD" w14:textId="77777777" w:rsidR="00573E8A" w:rsidRDefault="00000000">
      <w:pPr>
        <w:pStyle w:val="Heading2"/>
      </w:pPr>
      <w:r>
        <w:t>Summary of recommendations</w:t>
      </w:r>
    </w:p>
    <w:p w14:paraId="4D9F6F11" w14:textId="77777777" w:rsidR="00573E8A" w:rsidRDefault="00000000">
      <w:r>
        <w:t xml:space="preserve">Priority reflects our view of how substantial and pervasive each matter is, in line with the IASB's </w:t>
      </w:r>
      <w:proofErr w:type="spellStart"/>
      <w:r>
        <w:t>prioritisation</w:t>
      </w:r>
      <w:proofErr w:type="spellEnd"/>
      <w:r>
        <w:t xml:space="preserve"> criteria.</w:t>
      </w:r>
    </w:p>
    <w:tbl>
      <w:tblPr>
        <w:tblStyle w:val="TableGrid"/>
        <w:tblW w:w="0" w:type="auto"/>
        <w:tblLayout w:type="fixed"/>
        <w:tblLook w:val="0420" w:firstRow="1" w:lastRow="0" w:firstColumn="0" w:lastColumn="0" w:noHBand="0" w:noVBand="1"/>
      </w:tblPr>
      <w:tblGrid>
        <w:gridCol w:w="1872"/>
        <w:gridCol w:w="1872"/>
        <w:gridCol w:w="1872"/>
        <w:gridCol w:w="1872"/>
        <w:gridCol w:w="1872"/>
      </w:tblGrid>
      <w:tr w:rsidR="00573E8A" w14:paraId="1067BF26" w14:textId="77777777">
        <w:trPr>
          <w:tblHeader/>
        </w:trPr>
        <w:tc>
          <w:tcPr>
            <w:tcW w:w="1872" w:type="dxa"/>
            <w:shd w:val="clear" w:color="auto" w:fill="F2F2F2"/>
          </w:tcPr>
          <w:p w14:paraId="7874B976" w14:textId="77777777" w:rsidR="00573E8A" w:rsidRDefault="00000000">
            <w:r>
              <w:t>#</w:t>
            </w:r>
          </w:p>
        </w:tc>
        <w:tc>
          <w:tcPr>
            <w:tcW w:w="1872" w:type="dxa"/>
            <w:shd w:val="clear" w:color="auto" w:fill="F2F2F2"/>
          </w:tcPr>
          <w:p w14:paraId="30FBDF5A" w14:textId="77777777" w:rsidR="00573E8A" w:rsidRDefault="00000000">
            <w:r>
              <w:t>Matter</w:t>
            </w:r>
          </w:p>
        </w:tc>
        <w:tc>
          <w:tcPr>
            <w:tcW w:w="1872" w:type="dxa"/>
            <w:shd w:val="clear" w:color="auto" w:fill="F2F2F2"/>
          </w:tcPr>
          <w:p w14:paraId="49B4405C" w14:textId="77777777" w:rsidR="00573E8A" w:rsidRDefault="00000000">
            <w:r>
              <w:t>IFRS reference</w:t>
            </w:r>
          </w:p>
        </w:tc>
        <w:tc>
          <w:tcPr>
            <w:tcW w:w="1872" w:type="dxa"/>
            <w:shd w:val="clear" w:color="auto" w:fill="F2F2F2"/>
          </w:tcPr>
          <w:p w14:paraId="2315D9E6" w14:textId="77777777" w:rsidR="00573E8A" w:rsidRDefault="00000000">
            <w:r>
              <w:t>Recommended action</w:t>
            </w:r>
          </w:p>
        </w:tc>
        <w:tc>
          <w:tcPr>
            <w:tcW w:w="1872" w:type="dxa"/>
            <w:shd w:val="clear" w:color="auto" w:fill="F2F2F2"/>
          </w:tcPr>
          <w:p w14:paraId="1855032E" w14:textId="77777777" w:rsidR="00573E8A" w:rsidRDefault="00000000">
            <w:r>
              <w:t>Priority</w:t>
            </w:r>
          </w:p>
        </w:tc>
      </w:tr>
      <w:tr w:rsidR="00573E8A" w14:paraId="3716A53D" w14:textId="77777777">
        <w:tc>
          <w:tcPr>
            <w:tcW w:w="1872" w:type="dxa"/>
          </w:tcPr>
          <w:p w14:paraId="771CDA8F" w14:textId="77777777" w:rsidR="00573E8A" w:rsidRDefault="00000000">
            <w:r>
              <w:t>1</w:t>
            </w:r>
          </w:p>
        </w:tc>
        <w:tc>
          <w:tcPr>
            <w:tcW w:w="1872" w:type="dxa"/>
          </w:tcPr>
          <w:p w14:paraId="28F9A446" w14:textId="77777777" w:rsidR="00573E8A" w:rsidRDefault="00000000">
            <w:r>
              <w:t>'Highly probable' forecasts, timing changes, layering</w:t>
            </w:r>
          </w:p>
        </w:tc>
        <w:tc>
          <w:tcPr>
            <w:tcW w:w="1872" w:type="dxa"/>
          </w:tcPr>
          <w:p w14:paraId="0C1FE2E1" w14:textId="77777777" w:rsidR="00573E8A" w:rsidRDefault="00000000">
            <w:r>
              <w:t>IFRS 9 6.3.3, 6.5.12</w:t>
            </w:r>
          </w:p>
        </w:tc>
        <w:tc>
          <w:tcPr>
            <w:tcW w:w="1872" w:type="dxa"/>
          </w:tcPr>
          <w:p w14:paraId="3E4F9639" w14:textId="77777777" w:rsidR="00573E8A" w:rsidRDefault="00000000">
            <w:r>
              <w:t>Application guidance and examples</w:t>
            </w:r>
          </w:p>
        </w:tc>
        <w:tc>
          <w:tcPr>
            <w:tcW w:w="1872" w:type="dxa"/>
          </w:tcPr>
          <w:p w14:paraId="0E42E34C" w14:textId="77777777" w:rsidR="00573E8A" w:rsidRDefault="00000000">
            <w:r>
              <w:t>High</w:t>
            </w:r>
          </w:p>
        </w:tc>
      </w:tr>
      <w:tr w:rsidR="00573E8A" w14:paraId="508B5887" w14:textId="77777777">
        <w:tc>
          <w:tcPr>
            <w:tcW w:w="1872" w:type="dxa"/>
          </w:tcPr>
          <w:p w14:paraId="7ACDEBB3" w14:textId="77777777" w:rsidR="00573E8A" w:rsidRDefault="00000000">
            <w:r>
              <w:t>2</w:t>
            </w:r>
          </w:p>
        </w:tc>
        <w:tc>
          <w:tcPr>
            <w:tcW w:w="1872" w:type="dxa"/>
          </w:tcPr>
          <w:p w14:paraId="48D82A5D" w14:textId="77777777" w:rsidR="00573E8A" w:rsidRDefault="00000000">
            <w:r>
              <w:t>Cost of hedging — aligned vs actual forward element, basis spreads</w:t>
            </w:r>
          </w:p>
        </w:tc>
        <w:tc>
          <w:tcPr>
            <w:tcW w:w="1872" w:type="dxa"/>
          </w:tcPr>
          <w:p w14:paraId="27DE00D6" w14:textId="77777777" w:rsidR="00573E8A" w:rsidRDefault="00000000">
            <w:r>
              <w:t>IFRS 9 6.5.15–6.5.16, B6.5.29–B6.5.39</w:t>
            </w:r>
          </w:p>
        </w:tc>
        <w:tc>
          <w:tcPr>
            <w:tcW w:w="1872" w:type="dxa"/>
          </w:tcPr>
          <w:p w14:paraId="0AD2DD6C" w14:textId="77777777" w:rsidR="00573E8A" w:rsidRDefault="00000000">
            <w:r>
              <w:t>Practical expedient where critical terms match; examples</w:t>
            </w:r>
          </w:p>
        </w:tc>
        <w:tc>
          <w:tcPr>
            <w:tcW w:w="1872" w:type="dxa"/>
          </w:tcPr>
          <w:p w14:paraId="56853D3E" w14:textId="77777777" w:rsidR="00573E8A" w:rsidRDefault="00000000">
            <w:r>
              <w:t>High</w:t>
            </w:r>
          </w:p>
        </w:tc>
      </w:tr>
      <w:tr w:rsidR="00573E8A" w14:paraId="28ADFD58" w14:textId="77777777">
        <w:tc>
          <w:tcPr>
            <w:tcW w:w="1872" w:type="dxa"/>
          </w:tcPr>
          <w:p w14:paraId="0CD00731" w14:textId="77777777" w:rsidR="00573E8A" w:rsidRDefault="00000000">
            <w:r>
              <w:t>3</w:t>
            </w:r>
          </w:p>
        </w:tc>
        <w:tc>
          <w:tcPr>
            <w:tcW w:w="1872" w:type="dxa"/>
          </w:tcPr>
          <w:p w14:paraId="23B0959B" w14:textId="77777777" w:rsidR="00573E8A" w:rsidRDefault="00000000">
            <w:r>
              <w:t>Hedge coverage and key elections not visible to users</w:t>
            </w:r>
          </w:p>
        </w:tc>
        <w:tc>
          <w:tcPr>
            <w:tcW w:w="1872" w:type="dxa"/>
          </w:tcPr>
          <w:p w14:paraId="486814A1" w14:textId="77777777" w:rsidR="00573E8A" w:rsidRDefault="00000000">
            <w:r>
              <w:t>IFRS 7 21A–24G</w:t>
            </w:r>
          </w:p>
        </w:tc>
        <w:tc>
          <w:tcPr>
            <w:tcW w:w="1872" w:type="dxa"/>
          </w:tcPr>
          <w:p w14:paraId="5BEC3C9A" w14:textId="77777777" w:rsidR="00573E8A" w:rsidRDefault="00000000">
            <w:r>
              <w:t>New targeted disclosures; illustrative templates</w:t>
            </w:r>
          </w:p>
        </w:tc>
        <w:tc>
          <w:tcPr>
            <w:tcW w:w="1872" w:type="dxa"/>
          </w:tcPr>
          <w:p w14:paraId="10DDD12A" w14:textId="77777777" w:rsidR="00573E8A" w:rsidRDefault="00000000">
            <w:r>
              <w:t>High</w:t>
            </w:r>
          </w:p>
        </w:tc>
      </w:tr>
      <w:tr w:rsidR="00573E8A" w14:paraId="27569BCB" w14:textId="77777777">
        <w:tc>
          <w:tcPr>
            <w:tcW w:w="1872" w:type="dxa"/>
          </w:tcPr>
          <w:p w14:paraId="35DCDE94" w14:textId="77777777" w:rsidR="00573E8A" w:rsidRDefault="00000000">
            <w:r>
              <w:t>4</w:t>
            </w:r>
          </w:p>
        </w:tc>
        <w:tc>
          <w:tcPr>
            <w:tcW w:w="1872" w:type="dxa"/>
          </w:tcPr>
          <w:p w14:paraId="7553A3C9" w14:textId="77777777" w:rsidR="00573E8A" w:rsidRDefault="00000000">
            <w:r>
              <w:t xml:space="preserve">Credit risk on </w:t>
            </w:r>
            <w:proofErr w:type="spellStart"/>
            <w:r>
              <w:t>uncollateralised</w:t>
            </w:r>
            <w:proofErr w:type="spellEnd"/>
            <w:r>
              <w:t xml:space="preserve"> derivatives</w:t>
            </w:r>
          </w:p>
        </w:tc>
        <w:tc>
          <w:tcPr>
            <w:tcW w:w="1872" w:type="dxa"/>
          </w:tcPr>
          <w:p w14:paraId="24BF55ED" w14:textId="77777777" w:rsidR="00573E8A" w:rsidRDefault="00000000">
            <w:r>
              <w:t>IFRS 9 6.4.1(c)(ii), B6.4.7–B6.4.8</w:t>
            </w:r>
          </w:p>
        </w:tc>
        <w:tc>
          <w:tcPr>
            <w:tcW w:w="1872" w:type="dxa"/>
          </w:tcPr>
          <w:p w14:paraId="5B501AF8" w14:textId="77777777" w:rsidR="00573E8A" w:rsidRDefault="00000000">
            <w:r>
              <w:t>Guidance; consider treating credit element as excluded component</w:t>
            </w:r>
          </w:p>
        </w:tc>
        <w:tc>
          <w:tcPr>
            <w:tcW w:w="1872" w:type="dxa"/>
          </w:tcPr>
          <w:p w14:paraId="2B278CF0" w14:textId="77777777" w:rsidR="00573E8A" w:rsidRDefault="00000000">
            <w:r>
              <w:t>High</w:t>
            </w:r>
          </w:p>
        </w:tc>
      </w:tr>
      <w:tr w:rsidR="00573E8A" w14:paraId="53DDFA67" w14:textId="77777777">
        <w:tc>
          <w:tcPr>
            <w:tcW w:w="1872" w:type="dxa"/>
          </w:tcPr>
          <w:p w14:paraId="40A394F6" w14:textId="77777777" w:rsidR="00573E8A" w:rsidRDefault="00000000">
            <w:r>
              <w:lastRenderedPageBreak/>
              <w:t>5</w:t>
            </w:r>
          </w:p>
        </w:tc>
        <w:tc>
          <w:tcPr>
            <w:tcW w:w="1872" w:type="dxa"/>
          </w:tcPr>
          <w:p w14:paraId="5E966F84" w14:textId="77777777" w:rsidR="00573E8A" w:rsidRDefault="00000000">
            <w:r>
              <w:t>Rebalancing; ban on voluntary de-designation</w:t>
            </w:r>
          </w:p>
        </w:tc>
        <w:tc>
          <w:tcPr>
            <w:tcW w:w="1872" w:type="dxa"/>
          </w:tcPr>
          <w:p w14:paraId="4C41061A" w14:textId="77777777" w:rsidR="00573E8A" w:rsidRDefault="00000000">
            <w:r>
              <w:t>IFRS 9 6.5.5–6.5.6, B6.5.7–B6.5.21</w:t>
            </w:r>
          </w:p>
        </w:tc>
        <w:tc>
          <w:tcPr>
            <w:tcW w:w="1872" w:type="dxa"/>
          </w:tcPr>
          <w:p w14:paraId="7593E38A" w14:textId="77777777" w:rsidR="00573E8A" w:rsidRDefault="00000000">
            <w:r>
              <w:t>Educational material; reconsider voluntary de-designation</w:t>
            </w:r>
          </w:p>
        </w:tc>
        <w:tc>
          <w:tcPr>
            <w:tcW w:w="1872" w:type="dxa"/>
          </w:tcPr>
          <w:p w14:paraId="458D2C01" w14:textId="77777777" w:rsidR="00573E8A" w:rsidRDefault="00000000">
            <w:r>
              <w:t>Medium</w:t>
            </w:r>
          </w:p>
        </w:tc>
      </w:tr>
      <w:tr w:rsidR="00573E8A" w14:paraId="267CE59E" w14:textId="77777777">
        <w:tc>
          <w:tcPr>
            <w:tcW w:w="1872" w:type="dxa"/>
          </w:tcPr>
          <w:p w14:paraId="05DC2BAC" w14:textId="77777777" w:rsidR="00573E8A" w:rsidRDefault="00000000">
            <w:r>
              <w:t>6</w:t>
            </w:r>
          </w:p>
        </w:tc>
        <w:tc>
          <w:tcPr>
            <w:tcW w:w="1872" w:type="dxa"/>
          </w:tcPr>
          <w:p w14:paraId="6A840853" w14:textId="77777777" w:rsidR="00573E8A" w:rsidRDefault="00000000">
            <w:r>
              <w:t>Hypothetical derivative design</w:t>
            </w:r>
          </w:p>
        </w:tc>
        <w:tc>
          <w:tcPr>
            <w:tcW w:w="1872" w:type="dxa"/>
          </w:tcPr>
          <w:p w14:paraId="664043BF" w14:textId="77777777" w:rsidR="00573E8A" w:rsidRDefault="00000000">
            <w:r>
              <w:t>IFRS 9 B6.5.5–B6.5.6</w:t>
            </w:r>
          </w:p>
        </w:tc>
        <w:tc>
          <w:tcPr>
            <w:tcW w:w="1872" w:type="dxa"/>
          </w:tcPr>
          <w:p w14:paraId="4A73F04B" w14:textId="77777777" w:rsidR="00573E8A" w:rsidRDefault="00000000">
            <w:r>
              <w:t>Clarify permitted features; worked example</w:t>
            </w:r>
          </w:p>
        </w:tc>
        <w:tc>
          <w:tcPr>
            <w:tcW w:w="1872" w:type="dxa"/>
          </w:tcPr>
          <w:p w14:paraId="5CD65B64" w14:textId="77777777" w:rsidR="00573E8A" w:rsidRDefault="00000000">
            <w:r>
              <w:t>Medium</w:t>
            </w:r>
          </w:p>
        </w:tc>
      </w:tr>
      <w:tr w:rsidR="00573E8A" w14:paraId="1E0BDA60" w14:textId="77777777">
        <w:tc>
          <w:tcPr>
            <w:tcW w:w="1872" w:type="dxa"/>
          </w:tcPr>
          <w:p w14:paraId="2081B385" w14:textId="77777777" w:rsidR="00573E8A" w:rsidRDefault="00000000">
            <w:r>
              <w:t>7</w:t>
            </w:r>
          </w:p>
        </w:tc>
        <w:tc>
          <w:tcPr>
            <w:tcW w:w="1872" w:type="dxa"/>
          </w:tcPr>
          <w:p w14:paraId="2AD0B5FB" w14:textId="77777777" w:rsidR="00573E8A" w:rsidRDefault="00000000">
            <w:r>
              <w:t>Basis adjustment for inventory and CWIP</w:t>
            </w:r>
          </w:p>
        </w:tc>
        <w:tc>
          <w:tcPr>
            <w:tcW w:w="1872" w:type="dxa"/>
          </w:tcPr>
          <w:p w14:paraId="23E22EA9" w14:textId="77777777" w:rsidR="00573E8A" w:rsidRDefault="00000000">
            <w:r>
              <w:t>IFRS 9 6.5.11(d)(</w:t>
            </w:r>
            <w:proofErr w:type="spellStart"/>
            <w:r>
              <w:t>i</w:t>
            </w:r>
            <w:proofErr w:type="spellEnd"/>
            <w:r>
              <w:t>)</w:t>
            </w:r>
          </w:p>
        </w:tc>
        <w:tc>
          <w:tcPr>
            <w:tcW w:w="1872" w:type="dxa"/>
          </w:tcPr>
          <w:p w14:paraId="3724C005" w14:textId="77777777" w:rsidR="00573E8A" w:rsidRDefault="00000000">
            <w:r>
              <w:t>Practical expedient for reasonable allocation</w:t>
            </w:r>
          </w:p>
        </w:tc>
        <w:tc>
          <w:tcPr>
            <w:tcW w:w="1872" w:type="dxa"/>
          </w:tcPr>
          <w:p w14:paraId="17E74341" w14:textId="77777777" w:rsidR="00573E8A" w:rsidRDefault="00000000">
            <w:r>
              <w:t>Medium</w:t>
            </w:r>
          </w:p>
        </w:tc>
      </w:tr>
      <w:tr w:rsidR="00573E8A" w14:paraId="45466854" w14:textId="77777777">
        <w:tc>
          <w:tcPr>
            <w:tcW w:w="1872" w:type="dxa"/>
          </w:tcPr>
          <w:p w14:paraId="47C54C79" w14:textId="77777777" w:rsidR="00573E8A" w:rsidRDefault="00000000">
            <w:r>
              <w:t>8</w:t>
            </w:r>
          </w:p>
        </w:tc>
        <w:tc>
          <w:tcPr>
            <w:tcW w:w="1872" w:type="dxa"/>
          </w:tcPr>
          <w:p w14:paraId="77138F40" w14:textId="77777777" w:rsidR="00573E8A" w:rsidRDefault="00000000">
            <w:r>
              <w:t>Disclosure cost and inconsistency</w:t>
            </w:r>
          </w:p>
        </w:tc>
        <w:tc>
          <w:tcPr>
            <w:tcW w:w="1872" w:type="dxa"/>
          </w:tcPr>
          <w:p w14:paraId="446B8D86" w14:textId="77777777" w:rsidR="00573E8A" w:rsidRDefault="00000000">
            <w:r>
              <w:t>IFRS 7 23B, 24A–24B</w:t>
            </w:r>
          </w:p>
        </w:tc>
        <w:tc>
          <w:tcPr>
            <w:tcW w:w="1872" w:type="dxa"/>
          </w:tcPr>
          <w:p w14:paraId="6D213082" w14:textId="77777777" w:rsidR="00573E8A" w:rsidRDefault="00000000">
            <w:r>
              <w:t>Aggregation, clear basis, proportionality</w:t>
            </w:r>
          </w:p>
        </w:tc>
        <w:tc>
          <w:tcPr>
            <w:tcW w:w="1872" w:type="dxa"/>
          </w:tcPr>
          <w:p w14:paraId="2D4EDB78" w14:textId="77777777" w:rsidR="00573E8A" w:rsidRDefault="00000000">
            <w:r>
              <w:t>Medium</w:t>
            </w:r>
          </w:p>
        </w:tc>
      </w:tr>
      <w:tr w:rsidR="00573E8A" w14:paraId="432F0F1E" w14:textId="77777777">
        <w:tc>
          <w:tcPr>
            <w:tcW w:w="1872" w:type="dxa"/>
          </w:tcPr>
          <w:p w14:paraId="391D4146" w14:textId="77777777" w:rsidR="00573E8A" w:rsidRDefault="00000000">
            <w:r>
              <w:t>9</w:t>
            </w:r>
          </w:p>
        </w:tc>
        <w:tc>
          <w:tcPr>
            <w:tcW w:w="1872" w:type="dxa"/>
          </w:tcPr>
          <w:p w14:paraId="325DDD58" w14:textId="77777777" w:rsidR="00573E8A" w:rsidRDefault="00000000">
            <w:r>
              <w:t>Non-contractual risk components in foreign-benchmark markets</w:t>
            </w:r>
          </w:p>
        </w:tc>
        <w:tc>
          <w:tcPr>
            <w:tcW w:w="1872" w:type="dxa"/>
          </w:tcPr>
          <w:p w14:paraId="56013450" w14:textId="77777777" w:rsidR="00573E8A" w:rsidRDefault="00000000">
            <w:r>
              <w:t>IFRS 9 6.3.7, B6.3.8–B6.3.15</w:t>
            </w:r>
          </w:p>
        </w:tc>
        <w:tc>
          <w:tcPr>
            <w:tcW w:w="1872" w:type="dxa"/>
          </w:tcPr>
          <w:p w14:paraId="0740B583" w14:textId="77777777" w:rsidR="00573E8A" w:rsidRDefault="00000000">
            <w:r>
              <w:t xml:space="preserve">Examples </w:t>
            </w:r>
            <w:proofErr w:type="gramStart"/>
            <w:r>
              <w:t>on</w:t>
            </w:r>
            <w:proofErr w:type="gramEnd"/>
            <w:r>
              <w:t xml:space="preserve"> evidence of market structure</w:t>
            </w:r>
          </w:p>
        </w:tc>
        <w:tc>
          <w:tcPr>
            <w:tcW w:w="1872" w:type="dxa"/>
          </w:tcPr>
          <w:p w14:paraId="58800AE6" w14:textId="77777777" w:rsidR="00573E8A" w:rsidRDefault="00000000">
            <w:r>
              <w:t>Medium</w:t>
            </w:r>
          </w:p>
        </w:tc>
      </w:tr>
      <w:tr w:rsidR="00573E8A" w14:paraId="37F3A634" w14:textId="77777777">
        <w:tc>
          <w:tcPr>
            <w:tcW w:w="1872" w:type="dxa"/>
          </w:tcPr>
          <w:p w14:paraId="7F63CB82" w14:textId="77777777" w:rsidR="00573E8A" w:rsidRDefault="00000000">
            <w:r>
              <w:t>10</w:t>
            </w:r>
          </w:p>
        </w:tc>
        <w:tc>
          <w:tcPr>
            <w:tcW w:w="1872" w:type="dxa"/>
          </w:tcPr>
          <w:p w14:paraId="328343B9" w14:textId="77777777" w:rsidR="00573E8A" w:rsidRDefault="00000000">
            <w:r>
              <w:t>Extending variable-volume relief beyond nature-dependent electricity</w:t>
            </w:r>
          </w:p>
        </w:tc>
        <w:tc>
          <w:tcPr>
            <w:tcW w:w="1872" w:type="dxa"/>
          </w:tcPr>
          <w:p w14:paraId="70C9CFAB" w14:textId="77777777" w:rsidR="00573E8A" w:rsidRDefault="00000000">
            <w:r>
              <w:t>IFRS 9 (Dec 2024 amendments)</w:t>
            </w:r>
          </w:p>
        </w:tc>
        <w:tc>
          <w:tcPr>
            <w:tcW w:w="1872" w:type="dxa"/>
          </w:tcPr>
          <w:p w14:paraId="0930CD8F" w14:textId="77777777" w:rsidR="00573E8A" w:rsidRDefault="00000000">
            <w:r>
              <w:t>Assess extension</w:t>
            </w:r>
          </w:p>
        </w:tc>
        <w:tc>
          <w:tcPr>
            <w:tcW w:w="1872" w:type="dxa"/>
          </w:tcPr>
          <w:p w14:paraId="304A92EF" w14:textId="77777777" w:rsidR="00573E8A" w:rsidRDefault="00000000">
            <w:r>
              <w:t>Medium</w:t>
            </w:r>
          </w:p>
        </w:tc>
      </w:tr>
      <w:tr w:rsidR="00573E8A" w14:paraId="2F16EF0A" w14:textId="77777777">
        <w:tc>
          <w:tcPr>
            <w:tcW w:w="1872" w:type="dxa"/>
          </w:tcPr>
          <w:p w14:paraId="193BE864" w14:textId="77777777" w:rsidR="00573E8A" w:rsidRDefault="00000000">
            <w:r>
              <w:t>11</w:t>
            </w:r>
          </w:p>
        </w:tc>
        <w:tc>
          <w:tcPr>
            <w:tcW w:w="1872" w:type="dxa"/>
          </w:tcPr>
          <w:p w14:paraId="2A4F1374" w14:textId="77777777" w:rsidR="00573E8A" w:rsidRDefault="00000000">
            <w:r>
              <w:t>IFRS 18 presentation of hedging results</w:t>
            </w:r>
          </w:p>
        </w:tc>
        <w:tc>
          <w:tcPr>
            <w:tcW w:w="1872" w:type="dxa"/>
          </w:tcPr>
          <w:p w14:paraId="36AA1BCA" w14:textId="77777777" w:rsidR="00573E8A" w:rsidRDefault="00000000">
            <w:r>
              <w:t>IFRS 18</w:t>
            </w:r>
          </w:p>
        </w:tc>
        <w:tc>
          <w:tcPr>
            <w:tcW w:w="1872" w:type="dxa"/>
          </w:tcPr>
          <w:p w14:paraId="36F8D546" w14:textId="77777777" w:rsidR="00573E8A" w:rsidRDefault="00000000">
            <w:r>
              <w:t>Guidance</w:t>
            </w:r>
          </w:p>
        </w:tc>
        <w:tc>
          <w:tcPr>
            <w:tcW w:w="1872" w:type="dxa"/>
          </w:tcPr>
          <w:p w14:paraId="031A9D73" w14:textId="77777777" w:rsidR="00573E8A" w:rsidRDefault="00000000">
            <w:r>
              <w:t>Medium</w:t>
            </w:r>
          </w:p>
        </w:tc>
      </w:tr>
      <w:tr w:rsidR="00573E8A" w14:paraId="047509E1" w14:textId="77777777">
        <w:tc>
          <w:tcPr>
            <w:tcW w:w="1872" w:type="dxa"/>
          </w:tcPr>
          <w:p w14:paraId="1DDD1732" w14:textId="77777777" w:rsidR="00573E8A" w:rsidRDefault="00000000">
            <w:r>
              <w:t>12</w:t>
            </w:r>
          </w:p>
        </w:tc>
        <w:tc>
          <w:tcPr>
            <w:tcW w:w="1872" w:type="dxa"/>
          </w:tcPr>
          <w:p w14:paraId="45CFAB5C" w14:textId="77777777" w:rsidR="00573E8A" w:rsidRDefault="00000000">
            <w:r>
              <w:t>Net positions; net written options</w:t>
            </w:r>
          </w:p>
        </w:tc>
        <w:tc>
          <w:tcPr>
            <w:tcW w:w="1872" w:type="dxa"/>
          </w:tcPr>
          <w:p w14:paraId="4AEDCC3A" w14:textId="77777777" w:rsidR="00573E8A" w:rsidRDefault="00000000">
            <w:r>
              <w:t>IFRS 9 6.6, B6.2.4</w:t>
            </w:r>
          </w:p>
        </w:tc>
        <w:tc>
          <w:tcPr>
            <w:tcW w:w="1872" w:type="dxa"/>
          </w:tcPr>
          <w:p w14:paraId="1FC0A4D0" w14:textId="77777777" w:rsidR="00573E8A" w:rsidRDefault="00000000">
            <w:r>
              <w:t>Reassess restrictions; examples</w:t>
            </w:r>
          </w:p>
        </w:tc>
        <w:tc>
          <w:tcPr>
            <w:tcW w:w="1872" w:type="dxa"/>
          </w:tcPr>
          <w:p w14:paraId="3C7F8DF0" w14:textId="77777777" w:rsidR="00573E8A" w:rsidRDefault="00000000">
            <w:r>
              <w:t>Low</w:t>
            </w:r>
          </w:p>
        </w:tc>
      </w:tr>
      <w:tr w:rsidR="00573E8A" w14:paraId="636FE645" w14:textId="77777777">
        <w:tc>
          <w:tcPr>
            <w:tcW w:w="1872" w:type="dxa"/>
          </w:tcPr>
          <w:p w14:paraId="1908C07A" w14:textId="77777777" w:rsidR="00573E8A" w:rsidRDefault="00000000">
            <w:r>
              <w:t>13</w:t>
            </w:r>
          </w:p>
        </w:tc>
        <w:tc>
          <w:tcPr>
            <w:tcW w:w="1872" w:type="dxa"/>
          </w:tcPr>
          <w:p w14:paraId="7FCCC396" w14:textId="77777777" w:rsidR="00573E8A" w:rsidRDefault="00000000">
            <w:r>
              <w:t>IAS 39 withdrawal</w:t>
            </w:r>
          </w:p>
        </w:tc>
        <w:tc>
          <w:tcPr>
            <w:tcW w:w="1872" w:type="dxa"/>
          </w:tcPr>
          <w:p w14:paraId="6D784554" w14:textId="77777777" w:rsidR="00573E8A" w:rsidRDefault="00000000">
            <w:r>
              <w:t>IFRS 9 7.2.21</w:t>
            </w:r>
          </w:p>
        </w:tc>
        <w:tc>
          <w:tcPr>
            <w:tcW w:w="1872" w:type="dxa"/>
          </w:tcPr>
          <w:p w14:paraId="3A08A0D3" w14:textId="77777777" w:rsidR="00573E8A" w:rsidRDefault="00000000">
            <w:r>
              <w:t>Defer until Risk Mitigation Accounting is final; transition relief</w:t>
            </w:r>
          </w:p>
        </w:tc>
        <w:tc>
          <w:tcPr>
            <w:tcW w:w="1872" w:type="dxa"/>
          </w:tcPr>
          <w:p w14:paraId="780E9B7C" w14:textId="77777777" w:rsidR="00573E8A" w:rsidRDefault="00000000">
            <w:r>
              <w:t>High</w:t>
            </w:r>
          </w:p>
        </w:tc>
      </w:tr>
    </w:tbl>
    <w:p w14:paraId="62F2043A" w14:textId="6C504B48" w:rsidR="00573E8A" w:rsidRDefault="00573E8A" w:rsidP="000F43E3"/>
    <w:sectPr w:rsidR="00573E8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D1ABA"/>
    <w:multiLevelType w:val="hybridMultilevel"/>
    <w:tmpl w:val="0484999A"/>
    <w:lvl w:ilvl="0" w:tplc="26C853E4">
      <w:start w:val="1"/>
      <w:numFmt w:val="decimal"/>
      <w:lvlText w:val="%1."/>
      <w:lvlJc w:val="left"/>
      <w:pPr>
        <w:ind w:left="720" w:hanging="360"/>
      </w:pPr>
    </w:lvl>
    <w:lvl w:ilvl="1" w:tplc="CD3E6ED4">
      <w:start w:val="1"/>
      <w:numFmt w:val="lowerLetter"/>
      <w:lvlText w:val="%2."/>
      <w:lvlJc w:val="left"/>
      <w:pPr>
        <w:ind w:left="1440" w:hanging="360"/>
      </w:pPr>
    </w:lvl>
    <w:lvl w:ilvl="2" w:tplc="4344EE5E">
      <w:start w:val="1"/>
      <w:numFmt w:val="lowerRoman"/>
      <w:lvlText w:val="%3."/>
      <w:lvlJc w:val="left"/>
      <w:pPr>
        <w:ind w:left="2160" w:hanging="360"/>
      </w:pPr>
    </w:lvl>
    <w:lvl w:ilvl="3" w:tplc="3982BE06">
      <w:start w:val="1"/>
      <w:numFmt w:val="decimal"/>
      <w:lvlText w:val="%4."/>
      <w:lvlJc w:val="left"/>
      <w:pPr>
        <w:ind w:left="2880" w:hanging="360"/>
      </w:pPr>
    </w:lvl>
    <w:lvl w:ilvl="4" w:tplc="6AF009E2">
      <w:start w:val="1"/>
      <w:numFmt w:val="lowerLetter"/>
      <w:lvlText w:val="%5."/>
      <w:lvlJc w:val="left"/>
      <w:pPr>
        <w:ind w:left="3600" w:hanging="360"/>
      </w:pPr>
    </w:lvl>
    <w:lvl w:ilvl="5" w:tplc="A1920E5C">
      <w:start w:val="1"/>
      <w:numFmt w:val="lowerRoman"/>
      <w:lvlText w:val="%6."/>
      <w:lvlJc w:val="left"/>
      <w:pPr>
        <w:ind w:left="4320" w:hanging="360"/>
      </w:pPr>
    </w:lvl>
    <w:lvl w:ilvl="6" w:tplc="56428CB0">
      <w:start w:val="1"/>
      <w:numFmt w:val="decimal"/>
      <w:lvlText w:val="%7."/>
      <w:lvlJc w:val="left"/>
      <w:pPr>
        <w:ind w:left="5040" w:hanging="360"/>
      </w:pPr>
    </w:lvl>
    <w:lvl w:ilvl="7" w:tplc="E1D2B7C8">
      <w:start w:val="1"/>
      <w:numFmt w:val="lowerLetter"/>
      <w:lvlText w:val="%8."/>
      <w:lvlJc w:val="left"/>
      <w:pPr>
        <w:ind w:left="5760" w:hanging="360"/>
      </w:pPr>
    </w:lvl>
    <w:lvl w:ilvl="8" w:tplc="E1A28C56">
      <w:start w:val="1"/>
      <w:numFmt w:val="lowerRoman"/>
      <w:lvlText w:val="%9."/>
      <w:lvlJc w:val="left"/>
      <w:pPr>
        <w:ind w:left="6480" w:hanging="360"/>
      </w:pPr>
    </w:lvl>
  </w:abstractNum>
  <w:abstractNum w:abstractNumId="1" w15:restartNumberingAfterBreak="0">
    <w:nsid w:val="49D6489D"/>
    <w:multiLevelType w:val="hybridMultilevel"/>
    <w:tmpl w:val="FA32D70C"/>
    <w:lvl w:ilvl="0" w:tplc="9BDE0198">
      <w:start w:val="1"/>
      <w:numFmt w:val="bullet"/>
      <w:lvlText w:val="•"/>
      <w:lvlJc w:val="left"/>
      <w:pPr>
        <w:ind w:left="720" w:hanging="360"/>
      </w:pPr>
    </w:lvl>
    <w:lvl w:ilvl="1" w:tplc="A73C3C58">
      <w:start w:val="1"/>
      <w:numFmt w:val="bullet"/>
      <w:lvlText w:val="o"/>
      <w:lvlJc w:val="left"/>
      <w:pPr>
        <w:ind w:left="1440" w:hanging="360"/>
      </w:pPr>
    </w:lvl>
    <w:lvl w:ilvl="2" w:tplc="55807DA6">
      <w:start w:val="1"/>
      <w:numFmt w:val="bullet"/>
      <w:lvlText w:val="▪"/>
      <w:lvlJc w:val="left"/>
      <w:pPr>
        <w:ind w:left="2160" w:hanging="360"/>
      </w:pPr>
    </w:lvl>
    <w:lvl w:ilvl="3" w:tplc="C94C014E">
      <w:start w:val="1"/>
      <w:numFmt w:val="bullet"/>
      <w:lvlText w:val="•"/>
      <w:lvlJc w:val="left"/>
      <w:pPr>
        <w:ind w:left="2880" w:hanging="360"/>
      </w:pPr>
    </w:lvl>
    <w:lvl w:ilvl="4" w:tplc="77B25768">
      <w:start w:val="1"/>
      <w:numFmt w:val="bullet"/>
      <w:lvlText w:val="o"/>
      <w:lvlJc w:val="left"/>
      <w:pPr>
        <w:ind w:left="3600" w:hanging="360"/>
      </w:pPr>
    </w:lvl>
    <w:lvl w:ilvl="5" w:tplc="977ABCD8">
      <w:start w:val="1"/>
      <w:numFmt w:val="bullet"/>
      <w:lvlText w:val="▪"/>
      <w:lvlJc w:val="left"/>
      <w:pPr>
        <w:ind w:left="4320" w:hanging="360"/>
      </w:pPr>
    </w:lvl>
    <w:lvl w:ilvl="6" w:tplc="1EBEB77A">
      <w:start w:val="1"/>
      <w:numFmt w:val="bullet"/>
      <w:lvlText w:val="•"/>
      <w:lvlJc w:val="left"/>
      <w:pPr>
        <w:ind w:left="5040" w:hanging="360"/>
      </w:pPr>
    </w:lvl>
    <w:lvl w:ilvl="7" w:tplc="58E02074">
      <w:start w:val="1"/>
      <w:numFmt w:val="bullet"/>
      <w:lvlText w:val="o"/>
      <w:lvlJc w:val="left"/>
      <w:pPr>
        <w:ind w:left="5760" w:hanging="360"/>
      </w:pPr>
    </w:lvl>
    <w:lvl w:ilvl="8" w:tplc="791A66C4">
      <w:start w:val="1"/>
      <w:numFmt w:val="bullet"/>
      <w:lvlText w:val="▪"/>
      <w:lvlJc w:val="left"/>
      <w:pPr>
        <w:ind w:left="6480" w:hanging="360"/>
      </w:pPr>
    </w:lvl>
  </w:abstractNum>
  <w:num w:numId="1" w16cid:durableId="418403470">
    <w:abstractNumId w:val="1"/>
  </w:num>
  <w:num w:numId="2" w16cid:durableId="1829635052">
    <w:abstractNumId w:val="0"/>
    <w:lvlOverride w:ilvl="0">
      <w:startOverride w:val="1"/>
    </w:lvlOverride>
  </w:num>
  <w:num w:numId="3" w16cid:durableId="1924030432">
    <w:abstractNumId w:val="1"/>
  </w:num>
  <w:num w:numId="4" w16cid:durableId="380986827">
    <w:abstractNumId w:val="1"/>
  </w:num>
  <w:num w:numId="5" w16cid:durableId="2126342289">
    <w:abstractNumId w:val="1"/>
  </w:num>
  <w:num w:numId="6" w16cid:durableId="473107023">
    <w:abstractNumId w:val="1"/>
  </w:num>
  <w:num w:numId="7" w16cid:durableId="864517702">
    <w:abstractNumId w:val="0"/>
    <w:lvlOverride w:ilvl="0">
      <w:startOverride w:val="1"/>
    </w:lvlOverride>
  </w:num>
  <w:num w:numId="8" w16cid:durableId="118452240">
    <w:abstractNumId w:val="0"/>
    <w:lvlOverride w:ilvl="0">
      <w:startOverride w:val="1"/>
    </w:lvlOverride>
  </w:num>
  <w:num w:numId="9" w16cid:durableId="310212711">
    <w:abstractNumId w:val="1"/>
  </w:num>
  <w:num w:numId="10" w16cid:durableId="689532192">
    <w:abstractNumId w:val="0"/>
    <w:lvlOverride w:ilvl="0">
      <w:startOverride w:val="1"/>
    </w:lvlOverride>
  </w:num>
  <w:num w:numId="11" w16cid:durableId="1625499778">
    <w:abstractNumId w:val="1"/>
  </w:num>
  <w:num w:numId="12" w16cid:durableId="1909030048">
    <w:abstractNumId w:val="1"/>
  </w:num>
  <w:num w:numId="13" w16cid:durableId="325280153">
    <w:abstractNumId w:val="0"/>
    <w:lvlOverride w:ilvl="0">
      <w:startOverride w:val="1"/>
    </w:lvlOverride>
  </w:num>
  <w:num w:numId="14" w16cid:durableId="487088939">
    <w:abstractNumId w:val="0"/>
    <w:lvlOverride w:ilvl="0">
      <w:startOverride w:val="1"/>
    </w:lvlOverride>
  </w:num>
  <w:num w:numId="15" w16cid:durableId="1802838978">
    <w:abstractNumId w:val="0"/>
    <w:lvlOverride w:ilvl="0">
      <w:startOverride w:val="1"/>
    </w:lvlOverride>
  </w:num>
  <w:num w:numId="16" w16cid:durableId="67190295">
    <w:abstractNumId w:val="1"/>
  </w:num>
  <w:num w:numId="17" w16cid:durableId="804592031">
    <w:abstractNumId w:val="1"/>
  </w:num>
  <w:num w:numId="18" w16cid:durableId="966551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73E8A"/>
    <w:rsid w:val="000F43E3"/>
    <w:rsid w:val="00573E8A"/>
    <w:rsid w:val="009B74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88CCD"/>
  <w15:docId w15:val="{CF813A1F-4E6C-423F-BFC2-1450642B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3721</Words>
  <Characters>21211</Characters>
  <Application>Microsoft Office Word</Application>
  <DocSecurity>0</DocSecurity>
  <Lines>176</Lines>
  <Paragraphs>49</Paragraphs>
  <ScaleCrop>false</ScaleCrop>
  <Company/>
  <LinksUpToDate>false</LinksUpToDate>
  <CharactersWithSpaces>24883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the IASB Request for Information Post-implementation Review of IFRS</dc:title>
  <dc:description>Claude Docs node/2d01ffc2-db63@10 docx-w6</dc:description>
  <cp:lastModifiedBy>RINKESH SHAH</cp:lastModifiedBy>
  <cp:revision>11</cp:revision>
  <dcterms:created xsi:type="dcterms:W3CDTF">2026-10-08T12:46:00Z</dcterms:created>
  <dcterms:modified xsi:type="dcterms:W3CDTF">2026-10-08T12:49:00Z</dcterms:modified>
</cp:coreProperties>
</file>